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5555FF" w14:textId="77777777" w:rsidR="00ED3ECE" w:rsidRDefault="009C0C8B">
      <w:pPr>
        <w:spacing w:before="200" w:after="80"/>
      </w:pPr>
      <w:r>
        <w:rPr>
          <w:b/>
          <w:bCs/>
          <w:color w:val="1F3864"/>
          <w:sz w:val="44"/>
          <w:szCs w:val="44"/>
        </w:rPr>
        <w:t>WDI 2026 Topic Scoring Criteria</w:t>
      </w:r>
    </w:p>
    <w:p w14:paraId="64555600" w14:textId="77777777" w:rsidR="00ED3ECE" w:rsidRDefault="009C0C8B">
      <w:pPr>
        <w:spacing w:after="300"/>
      </w:pPr>
      <w:r>
        <w:rPr>
          <w:b/>
          <w:bCs/>
          <w:color w:val="2E75B6"/>
          <w:sz w:val="36"/>
          <w:szCs w:val="36"/>
        </w:rPr>
        <w:t>Topic 23: Freedom of Association and Collective Bargaining</w:t>
      </w:r>
    </w:p>
    <w:p w14:paraId="64555601" w14:textId="77777777" w:rsidR="00ED3ECE" w:rsidRDefault="00ED3ECE">
      <w:pPr>
        <w:pBdr>
          <w:bottom w:val="single" w:sz="4" w:space="1" w:color="D9D9D9"/>
        </w:pBdr>
        <w:spacing w:before="240" w:after="240"/>
      </w:pPr>
    </w:p>
    <w:p w14:paraId="64555602" w14:textId="77777777" w:rsidR="00ED3ECE" w:rsidRDefault="009C0C8B">
      <w:pPr>
        <w:pStyle w:val="Heading1"/>
        <w:spacing w:before="360" w:after="160"/>
      </w:pPr>
      <w:r>
        <w:rPr>
          <w:b/>
          <w:bCs/>
          <w:color w:val="1F3864"/>
          <w:sz w:val="34"/>
          <w:szCs w:val="34"/>
        </w:rPr>
        <w:t>1. Topic Overview</w:t>
      </w:r>
    </w:p>
    <w:p w14:paraId="64555603" w14:textId="77777777" w:rsidR="00ED3ECE" w:rsidRDefault="009C0C8B">
      <w:pPr>
        <w:spacing w:before="80" w:after="80"/>
      </w:pPr>
      <w:r>
        <w:rPr>
          <w:color w:val="1A1A1A"/>
        </w:rPr>
        <w:t>This topic assesses the company’s approach to securing workers’ rights to freedom of association and collective bargaining — covering its consultation mechanisms with workers and their representatives, its collective bargaining agreement (CBA) coverage, its approach to managing risks or restrictions to these rights, and how it secures these rights for non-employee direct operations workers.</w:t>
      </w:r>
    </w:p>
    <w:p w14:paraId="64555604" w14:textId="77777777" w:rsidR="00ED3ECE" w:rsidRDefault="009C0C8B">
      <w:pPr>
        <w:spacing w:before="80" w:after="80"/>
      </w:pPr>
      <w:r>
        <w:rPr>
          <w:color w:val="1A1A1A"/>
        </w:rPr>
        <w:t>The topic is scored using ten questions: Q9.1 (consultation mechanism gate, Yes/Not Yet), Q9.1a (if Yes — stakeholder consultation table), Q9.1b (if Not Yet — plans and alternative measures, 150 words), Q9.2 (overall CBA coverage %, ALWAYS applicable), Q9.3 (scope clarifier for Q9.2, ALWAYS applicable), Q9.4 (CBA coverage by location, table, ALWAYS applicable), Q9.5 (risks/restrictions gate, Yes/No), Q9.5a (if Yes at Q9.5 — specific instances + actions, 300 words), Q9.5b (if No at Q9.5 — preventative measur</w:t>
      </w:r>
      <w:r>
        <w:rPr>
          <w:color w:val="1A1A1A"/>
        </w:rPr>
        <w:t>es, 300 words), and Q9.6 (non-employee CB rights, table, ALWAYS applicable). Q9.A is excluded from scoring.</w:t>
      </w:r>
    </w:p>
    <w:p w14:paraId="64555605" w14:textId="77777777" w:rsidR="00ED3ECE" w:rsidRDefault="009C0C8B">
      <w:pPr>
        <w:pStyle w:val="Heading2"/>
        <w:spacing w:before="280" w:after="120"/>
      </w:pPr>
      <w:r>
        <w:rPr>
          <w:b/>
          <w:bCs/>
          <w:color w:val="2E75B6"/>
        </w:rPr>
        <w:t>Key Structure: Two Independent Gates Plus Always-Applicable Questions</w:t>
      </w:r>
    </w:p>
    <w:p w14:paraId="64555606" w14:textId="77777777" w:rsidR="00ED3ECE" w:rsidRDefault="009C0C8B">
      <w:pPr>
        <w:spacing w:before="80" w:after="80"/>
      </w:pPr>
      <w:r>
        <w:rPr>
          <w:color w:val="1A1A1A"/>
        </w:rPr>
        <w:t>Q9.1 and Q9.5 are two independent gates, each always applicable. Q9.2, Q9.3, Q9.4, and Q9.6 are always applicable to every company regardless of gate answers. Q9.5 uses Yes/No (not Yes/Not Yet) — the Not Yet cap does not apply to Q9.5a or Q9.5b. Q9.1b is the only Not Yet follow-up and is capped at 3 for Awareness and Approach.</w:t>
      </w:r>
    </w:p>
    <w:p w14:paraId="64555607" w14:textId="77777777" w:rsidR="00ED3ECE" w:rsidRDefault="009C0C8B">
      <w:pPr>
        <w:spacing w:before="80" w:after="80"/>
      </w:pPr>
      <w:r>
        <w:rPr>
          <w:color w:val="1A1A1A"/>
        </w:rPr>
        <w:t>Q9.5 = Yes means the company has identified specific risks or restrictions to FoA rights in its direct operations. This is not a failing — identifying risks demonstrates active monitoring. Q9.5 = No means no specific risks have been identified; Q9.5b then requires evidence of preventative measures in place. Both Yes and No at Q9.5 lead to valid scored responses.</w:t>
      </w:r>
    </w:p>
    <w:p w14:paraId="64555608" w14:textId="77777777" w:rsidR="00ED3ECE" w:rsidRDefault="009C0C8B">
      <w:pPr>
        <w:pStyle w:val="Heading2"/>
        <w:spacing w:before="280" w:after="120"/>
      </w:pPr>
      <w:r>
        <w:rPr>
          <w:b/>
          <w:bCs/>
          <w:color w:val="2E75B6"/>
        </w:rPr>
        <w:t>3A Dimension Mapping</w:t>
      </w:r>
    </w:p>
    <w:p w14:paraId="64555609" w14:textId="77777777" w:rsidR="00ED3ECE" w:rsidRDefault="009C0C8B">
      <w:pPr>
        <w:spacing w:before="80" w:after="80"/>
      </w:pPr>
      <w:r>
        <w:rPr>
          <w:color w:val="1A1A1A"/>
        </w:rPr>
        <w:t>Awareness: Q9.1 gate (always), Q9.1b plans element (if Not Yet, capped at 3), Q9.3 scope clarifier (always), Q9.5 gate (always — recognising whether FoA risks exist), Q9.5a specific risk instances named (if Q9.5 = Yes). Approach: Q9.1a consultation process description and frequency (if Q9.1 = Yes), Q9.1b alternative measures (if Not Yet, capped at 3), Q9.5a risk identification process and G2 effectiveness monitoring (if Q9.5 = Yes), Q9.5b preventative measures process and scope (if Q9.5 = No), Q9.6 non-empl</w:t>
      </w:r>
      <w:r>
        <w:rPr>
          <w:color w:val="1A1A1A"/>
        </w:rPr>
        <w:t>oyee CB rights governance (always). Action: Q9.1a G2 practical outcomes and incorporation into practice (if Q9.1 = Yes), Q9.2 overall CBA coverage % (always), Q9.4 CBA % by location (always), Q9.5a specific actions taken to address risks (if Q9.5 = Yes), Q9.5b example of preventative measures in practice (if Q9.5 = No).</w:t>
      </w:r>
    </w:p>
    <w:p w14:paraId="6455560A" w14:textId="77777777" w:rsidR="00ED3ECE" w:rsidRDefault="009C0C8B">
      <w:pPr>
        <w:spacing w:before="80" w:after="60"/>
      </w:pPr>
      <w:r>
        <w:rPr>
          <w:i/>
          <w:iCs/>
          <w:color w:val="666666"/>
          <w:sz w:val="17"/>
          <w:szCs w:val="17"/>
        </w:rPr>
        <w:t>Q9.A (Notes on Freedom of association and collective bargaining) is excluded from scoring.</w:t>
      </w:r>
    </w:p>
    <w:p w14:paraId="6455560B" w14:textId="77777777" w:rsidR="00ED3ECE" w:rsidRDefault="00ED3ECE">
      <w:pPr>
        <w:pBdr>
          <w:bottom w:val="single" w:sz="4" w:space="1" w:color="D9D9D9"/>
        </w:pBdr>
        <w:spacing w:before="240" w:after="240"/>
      </w:pPr>
    </w:p>
    <w:p w14:paraId="6455560C" w14:textId="77777777" w:rsidR="00ED3ECE" w:rsidRDefault="009C0C8B">
      <w:pPr>
        <w:pStyle w:val="Heading1"/>
        <w:spacing w:before="360" w:after="160"/>
      </w:pPr>
      <w:r>
        <w:rPr>
          <w:b/>
          <w:bCs/>
          <w:color w:val="1F3864"/>
          <w:sz w:val="34"/>
          <w:szCs w:val="34"/>
        </w:rPr>
        <w:t>2. Dimension Definitions</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360"/>
        <w:gridCol w:w="3360"/>
        <w:gridCol w:w="3360"/>
      </w:tblGrid>
      <w:tr w:rsidR="00ED3ECE" w14:paraId="64555610" w14:textId="77777777">
        <w:tblPrEx>
          <w:tblCellMar>
            <w:top w:w="0" w:type="dxa"/>
            <w:bottom w:w="0" w:type="dxa"/>
          </w:tblCellMar>
        </w:tblPrEx>
        <w:trPr>
          <w:tblHeader/>
        </w:trPr>
        <w:tc>
          <w:tcPr>
            <w:tcW w:w="3360" w:type="dxa"/>
            <w:tcBorders>
              <w:top w:val="single" w:sz="4" w:space="0" w:color="2E75B6"/>
              <w:left w:val="single" w:sz="1" w:space="0" w:color="CCCCCC"/>
              <w:bottom w:val="single" w:sz="4" w:space="0" w:color="2E75B6"/>
              <w:right w:val="single" w:sz="1" w:space="0" w:color="CCCCCC"/>
            </w:tcBorders>
            <w:shd w:val="clear" w:color="auto" w:fill="2E75B6"/>
            <w:tcMar>
              <w:top w:w="100" w:type="dxa"/>
              <w:left w:w="130" w:type="dxa"/>
              <w:bottom w:w="100" w:type="dxa"/>
              <w:right w:w="130" w:type="dxa"/>
            </w:tcMar>
            <w:vAlign w:val="center"/>
          </w:tcPr>
          <w:p w14:paraId="6455560D" w14:textId="77777777" w:rsidR="00ED3ECE" w:rsidRDefault="009C0C8B">
            <w:pPr>
              <w:jc w:val="center"/>
            </w:pPr>
            <w:r>
              <w:rPr>
                <w:b/>
                <w:bCs/>
                <w:color w:val="FFFFFF"/>
                <w:sz w:val="17"/>
                <w:szCs w:val="17"/>
              </w:rPr>
              <w:t>AWARENESS</w:t>
            </w:r>
          </w:p>
        </w:tc>
        <w:tc>
          <w:tcPr>
            <w:tcW w:w="3360" w:type="dxa"/>
            <w:tcBorders>
              <w:top w:val="single" w:sz="4" w:space="0" w:color="70AD47"/>
              <w:left w:val="single" w:sz="1" w:space="0" w:color="CCCCCC"/>
              <w:bottom w:val="single" w:sz="4" w:space="0" w:color="70AD47"/>
              <w:right w:val="single" w:sz="1" w:space="0" w:color="CCCCCC"/>
            </w:tcBorders>
            <w:shd w:val="clear" w:color="auto" w:fill="70AD47"/>
            <w:tcMar>
              <w:top w:w="100" w:type="dxa"/>
              <w:left w:w="130" w:type="dxa"/>
              <w:bottom w:w="100" w:type="dxa"/>
              <w:right w:w="130" w:type="dxa"/>
            </w:tcMar>
            <w:vAlign w:val="center"/>
          </w:tcPr>
          <w:p w14:paraId="6455560E" w14:textId="77777777" w:rsidR="00ED3ECE" w:rsidRDefault="009C0C8B">
            <w:pPr>
              <w:jc w:val="center"/>
            </w:pPr>
            <w:r>
              <w:rPr>
                <w:b/>
                <w:bCs/>
                <w:color w:val="FFFFFF"/>
                <w:sz w:val="17"/>
                <w:szCs w:val="17"/>
              </w:rPr>
              <w:t>APPROACH</w:t>
            </w:r>
          </w:p>
        </w:tc>
        <w:tc>
          <w:tcPr>
            <w:tcW w:w="3360" w:type="dxa"/>
            <w:tcBorders>
              <w:top w:val="single" w:sz="4" w:space="0" w:color="ED7D31"/>
              <w:left w:val="single" w:sz="1" w:space="0" w:color="CCCCCC"/>
              <w:bottom w:val="single" w:sz="4" w:space="0" w:color="ED7D31"/>
              <w:right w:val="single" w:sz="1" w:space="0" w:color="CCCCCC"/>
            </w:tcBorders>
            <w:shd w:val="clear" w:color="auto" w:fill="ED7D31"/>
            <w:tcMar>
              <w:top w:w="100" w:type="dxa"/>
              <w:left w:w="130" w:type="dxa"/>
              <w:bottom w:w="100" w:type="dxa"/>
              <w:right w:w="130" w:type="dxa"/>
            </w:tcMar>
            <w:vAlign w:val="center"/>
          </w:tcPr>
          <w:p w14:paraId="6455560F" w14:textId="77777777" w:rsidR="00ED3ECE" w:rsidRDefault="009C0C8B">
            <w:pPr>
              <w:jc w:val="center"/>
            </w:pPr>
            <w:r>
              <w:rPr>
                <w:b/>
                <w:bCs/>
                <w:color w:val="FFFFFF"/>
                <w:sz w:val="17"/>
                <w:szCs w:val="17"/>
              </w:rPr>
              <w:t>ACTION</w:t>
            </w:r>
          </w:p>
        </w:tc>
      </w:tr>
      <w:tr w:rsidR="00ED3ECE" w14:paraId="64555614" w14:textId="77777777">
        <w:tblPrEx>
          <w:tblCellMar>
            <w:top w:w="0" w:type="dxa"/>
            <w:bottom w:w="0" w:type="dxa"/>
          </w:tblCellMar>
        </w:tblPrEx>
        <w:tc>
          <w:tcPr>
            <w:tcW w:w="336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64555611" w14:textId="77777777" w:rsidR="00ED3ECE" w:rsidRDefault="009C0C8B">
            <w:pPr>
              <w:spacing w:before="20" w:after="20"/>
            </w:pPr>
            <w:r>
              <w:rPr>
                <w:color w:val="1A1A1A"/>
                <w:sz w:val="18"/>
                <w:szCs w:val="18"/>
              </w:rPr>
              <w:t xml:space="preserve">Awareness is assessed from five sources: Q9.1 gate (always), Q9.1b plans (if Not Yet, capped at 3), Q9.3 </w:t>
            </w:r>
            <w:r>
              <w:rPr>
                <w:color w:val="1A1A1A"/>
                <w:sz w:val="18"/>
                <w:szCs w:val="18"/>
              </w:rPr>
              <w:lastRenderedPageBreak/>
              <w:t>scope clarifier (always), Q9.5 gate (always), and Q9.5a specific instances (if Q9.5 = Yes).  Q9.1 gate (always): Yes = recognition that a consultation mechanism exists. Not Yet = acknowledgement that it does not. Q9.1b plans: a specific roadmap/expected date lifts Awareness from 1 to 3 (capped).  Q9.3 scope clarifier (always): the dropdown selecting the scope of Q9.2 CBA coverage data (domestic only / all significant locations / workforce-% bands / all direct operations workforce). This contextualises the C</w:t>
            </w:r>
            <w:r>
              <w:rPr>
                <w:color w:val="1A1A1A"/>
                <w:sz w:val="18"/>
                <w:szCs w:val="18"/>
              </w:rPr>
              <w:t>BA data disclosure.  Q9.5 gate (always): Yes = the company has actively identified specific risks or restrictions to FoA rights. No = no specific risks identified. Both are informative Awareness signals.  Q9.5a specific instances (if Q9.5 = Yes): naming specific instances where risks or violations have been identified. This is the deeper recognition element — not just that risks exist, but what they are.  OR and AND logic: lower scores via any one gate (OR). Score 5 requires AND: Q9.1 = Yes AND Q9.5 answere</w:t>
            </w:r>
            <w:r>
              <w:rPr>
                <w:color w:val="1A1A1A"/>
                <w:sz w:val="18"/>
                <w:szCs w:val="18"/>
              </w:rPr>
              <w:t>d AND Q9.3 completed AND, if Q9.5 = Yes, Q9.5a names at least one specific instance.  Primary evidence: Q9.1 and Q9.5 gate selections; Q9.3 scope completion; Q9.5a specific risk instances.</w:t>
            </w:r>
          </w:p>
        </w:tc>
        <w:tc>
          <w:tcPr>
            <w:tcW w:w="336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64555612" w14:textId="77777777" w:rsidR="00ED3ECE" w:rsidRDefault="009C0C8B">
            <w:pPr>
              <w:spacing w:before="20" w:after="20"/>
            </w:pPr>
            <w:r>
              <w:rPr>
                <w:color w:val="1A1A1A"/>
                <w:sz w:val="18"/>
                <w:szCs w:val="18"/>
              </w:rPr>
              <w:lastRenderedPageBreak/>
              <w:t xml:space="preserve">Approach is assessed from five sources: Q9.1a process (if Yes), Q9.1b alternatives (if Not Yet, capped </w:t>
            </w:r>
            <w:r>
              <w:rPr>
                <w:color w:val="1A1A1A"/>
                <w:sz w:val="18"/>
                <w:szCs w:val="18"/>
              </w:rPr>
              <w:lastRenderedPageBreak/>
              <w:t>at 3), Q9.5a risk identification process + G2 monitoring (if Q9.5 = Yes), Q9.5b preventative measures process (if Q9.5 = No), and Q9.6 (always).  Q9.1a (if Q9.1 = Yes): Table Q9.1a has rows for each stakeholder group consulted (rows can be added). Each row has: stakeholder type dropdown (Workers / Worker Representative Bodies / Trade Unions), a 300-word description, and a frequency dropdown (Continuous/ongoing, Quarterly, Biannually, Annually, Ad hoc). The guidance asks for: steps to gain input from workers</w:t>
            </w:r>
            <w:r>
              <w:rPr>
                <w:color w:val="1A1A1A"/>
                <w:sz w:val="18"/>
                <w:szCs w:val="18"/>
              </w:rPr>
              <w:t xml:space="preserve"> and unions; format of consultations (in-person, surveys, platforms); typical participants; regularity of consultation.  Q9.1b (if Not Yet, CAPPED AT 3): alternative measures to uphold and operationalise FoA and CB rights.  Q9.5a process (if Q9.5 = Yes): the process used to identify risks/violations. G2: how effectiveness of actions is monitored; challenges faced; improvements seen.  Q9.5b (if Q9.5 = No): how the company identifies risks (the identification process), scope of such actions, and regularity of</w:t>
            </w:r>
            <w:r>
              <w:rPr>
                <w:color w:val="1A1A1A"/>
                <w:sz w:val="18"/>
                <w:szCs w:val="18"/>
              </w:rPr>
              <w:t xml:space="preserve"> assessment. G2: how effectiveness of preventative measures is ensured.  Q9.6 (always): Table Q9.6 has rows for each non-employee contract type (rows can be added). Each row describes: whether CB rights are incorporated into labour provider contracts; relevant incentives for securing CB rights; external guidelines or multi-stakeholder initiatives supported. G2: monitoring process for labour provider commitments; whether third parties must cascade rights commitments.  OR and AND logic: lower levels via any o</w:t>
            </w:r>
            <w:r>
              <w:rPr>
                <w:color w:val="1A1A1A"/>
                <w:sz w:val="18"/>
                <w:szCs w:val="18"/>
              </w:rPr>
              <w:t>ne source (OR). Score 5 requires AND: Q9.1a substantive (if Yes) AND Q9.5a/b process described AND Q9.6 addressed.  Primary evidence: Q9.1a stakeholder coverage, description quality, and frequency; Q9.5a risk identification and monitoring process; Q9.5b preventative process and scope; Q9.6 non-employee contractual provisions.</w:t>
            </w:r>
          </w:p>
        </w:tc>
        <w:tc>
          <w:tcPr>
            <w:tcW w:w="336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64555613" w14:textId="77777777" w:rsidR="00ED3ECE" w:rsidRDefault="009C0C8B">
            <w:pPr>
              <w:spacing w:before="20" w:after="20"/>
            </w:pPr>
            <w:r>
              <w:rPr>
                <w:color w:val="1A1A1A"/>
                <w:sz w:val="18"/>
                <w:szCs w:val="18"/>
              </w:rPr>
              <w:lastRenderedPageBreak/>
              <w:t xml:space="preserve">Action is assessed from five sources: Q9.1a G2 outcomes (if Q9.1 = Yes), Q9.2 (always), Q9.4 (always), Q9.5a </w:t>
            </w:r>
            <w:r>
              <w:rPr>
                <w:color w:val="1A1A1A"/>
                <w:sz w:val="18"/>
                <w:szCs w:val="18"/>
              </w:rPr>
              <w:lastRenderedPageBreak/>
              <w:t>actions taken (if Q9.5 = Yes), and Q9.5b preventative examples (if Q9.5 = No).  Q9.1a G2 outcomes (if Q9.1 = Yes): the process for incorporating consultation communications into practical outcomes; how outcomes are distributed throughout the company; whether the company allocates time off for workers to attend trade union meetings; other steps taken to secure FoA and CB rights; and which locations the process applies to.  Q9.2 (always): the overall percentage of employees across direct operations covered by</w:t>
            </w:r>
            <w:r>
              <w:rPr>
                <w:color w:val="1A1A1A"/>
                <w:sz w:val="18"/>
                <w:szCs w:val="18"/>
              </w:rPr>
              <w:t xml:space="preserve"> one or more collective bargaining agreements. Disclosure itself is the Action evidence — the percentage value is not scored as higher = better. Note: if some operations are in jurisdictions where CBAs are legally mandated, this can contextualise high percentages.  Q9.4 (always): Table Q9.4 has up to 10 editable location rows. For each significant operating location: the percentage of employees covered by CBAs. If location breakdown is unavailable, the company can provide overall % and note ‘Total’. Quality</w:t>
            </w:r>
            <w:r>
              <w:rPr>
                <w:color w:val="1A1A1A"/>
                <w:sz w:val="18"/>
                <w:szCs w:val="18"/>
              </w:rPr>
              <w:t xml:space="preserve"> = providing location-level breakdowns rather than just the total.  Q9.5a actions taken (if Q9.5 = Yes): specific actions taken or being taken to address identified FoA risks/violations (engagement with unions, more frequent consultations, workforce education, formal investigations).  Q9.5b preventative examples (if Q9.5 = No): an example of preventative measures or processes in place to minimise FoA/CB risks (regular engagement with workers/representative bodies, provision of educational materials, worker </w:t>
            </w:r>
            <w:r>
              <w:rPr>
                <w:color w:val="1A1A1A"/>
                <w:sz w:val="18"/>
                <w:szCs w:val="18"/>
              </w:rPr>
              <w:t>rights guidance).  OR and AND logic: Q9.2 or Q9.4 alone (always-applicable) can reach mid-levels (OR). Score 5 requires AND: Q9.2 provided AND Q9.4 with location breakdown AND Q9.1a G2 outcomes (if Yes) AND Q9.5a/b action examples.  Primary evidence: Q9.2 overall CBA %, Q9.4 by-location CBA %, Q9.1a G2 practical outcomes, Q9.5a actions, Q9.5b preventative examples.</w:t>
            </w:r>
          </w:p>
        </w:tc>
      </w:tr>
    </w:tbl>
    <w:p w14:paraId="64555615" w14:textId="77777777" w:rsidR="00ED3ECE" w:rsidRDefault="00ED3ECE">
      <w:pPr>
        <w:pBdr>
          <w:bottom w:val="single" w:sz="4" w:space="1" w:color="D9D9D9"/>
        </w:pBdr>
        <w:spacing w:before="240" w:after="240"/>
      </w:pPr>
    </w:p>
    <w:p w14:paraId="64555616" w14:textId="77777777" w:rsidR="00ED3ECE" w:rsidRDefault="009C0C8B">
      <w:pPr>
        <w:pStyle w:val="Heading1"/>
        <w:spacing w:before="360" w:after="160"/>
      </w:pPr>
      <w:r>
        <w:rPr>
          <w:b/>
          <w:bCs/>
          <w:color w:val="1F3864"/>
          <w:sz w:val="34"/>
          <w:szCs w:val="34"/>
        </w:rPr>
        <w:t>3. Scoring Rubric — All Dimensions</w:t>
      </w:r>
    </w:p>
    <w:p w14:paraId="64555617" w14:textId="77777777" w:rsidR="00ED3ECE" w:rsidRDefault="009C0C8B">
      <w:pPr>
        <w:spacing w:before="80" w:after="60"/>
      </w:pPr>
      <w:r>
        <w:rPr>
          <w:i/>
          <w:iCs/>
          <w:color w:val="666666"/>
          <w:sz w:val="17"/>
          <w:szCs w:val="17"/>
        </w:rPr>
        <w:lastRenderedPageBreak/>
        <w:t>Awareness uses 0,1,3,5 (Not Yet cap applies to Q9.1b; Q9.5 uses Yes/No — no Not Yet cap). Approach uses 0,1,2,3,5. Action uses 0,1,2,3,5 (Q9.2 and Q9.4 always-applicable backbone). OR and AND logic explicitly stated at every level.</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60"/>
        <w:gridCol w:w="1197"/>
        <w:gridCol w:w="677"/>
        <w:gridCol w:w="1193"/>
        <w:gridCol w:w="3658"/>
        <w:gridCol w:w="2695"/>
      </w:tblGrid>
      <w:tr w:rsidR="00ED3ECE" w14:paraId="6455561E" w14:textId="77777777">
        <w:tblPrEx>
          <w:tblCellMar>
            <w:top w:w="0" w:type="dxa"/>
            <w:bottom w:w="0" w:type="dxa"/>
          </w:tblCellMar>
        </w:tblPrEx>
        <w:trPr>
          <w:tblHeader/>
        </w:trPr>
        <w:tc>
          <w:tcPr>
            <w:tcW w:w="6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64555618" w14:textId="77777777" w:rsidR="00ED3ECE" w:rsidRDefault="009C0C8B">
            <w:pPr>
              <w:jc w:val="center"/>
            </w:pPr>
            <w:r>
              <w:rPr>
                <w:b/>
                <w:bCs/>
                <w:color w:val="FFFFFF"/>
                <w:sz w:val="15"/>
                <w:szCs w:val="15"/>
              </w:rPr>
              <w:t>Topic ID</w:t>
            </w:r>
          </w:p>
        </w:tc>
        <w:tc>
          <w:tcPr>
            <w:tcW w:w="12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64555619" w14:textId="77777777" w:rsidR="00ED3ECE" w:rsidRDefault="009C0C8B">
            <w:pPr>
              <w:jc w:val="center"/>
            </w:pPr>
            <w:r>
              <w:rPr>
                <w:b/>
                <w:bCs/>
                <w:color w:val="FFFFFF"/>
                <w:sz w:val="15"/>
                <w:szCs w:val="15"/>
              </w:rPr>
              <w:t>Dimension</w:t>
            </w:r>
          </w:p>
        </w:tc>
        <w:tc>
          <w:tcPr>
            <w:tcW w:w="5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6455561A" w14:textId="77777777" w:rsidR="00ED3ECE" w:rsidRDefault="009C0C8B">
            <w:pPr>
              <w:jc w:val="center"/>
            </w:pPr>
            <w:r>
              <w:rPr>
                <w:b/>
                <w:bCs/>
                <w:color w:val="FFFFFF"/>
                <w:sz w:val="15"/>
                <w:szCs w:val="15"/>
              </w:rPr>
              <w:t>Score</w:t>
            </w:r>
          </w:p>
        </w:tc>
        <w:tc>
          <w:tcPr>
            <w:tcW w:w="12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6455561B" w14:textId="77777777" w:rsidR="00ED3ECE" w:rsidRDefault="009C0C8B">
            <w:pPr>
              <w:jc w:val="center"/>
            </w:pPr>
            <w:r>
              <w:rPr>
                <w:b/>
                <w:bCs/>
                <w:color w:val="FFFFFF"/>
                <w:sz w:val="15"/>
                <w:szCs w:val="15"/>
              </w:rPr>
              <w:t>Level</w:t>
            </w:r>
          </w:p>
        </w:tc>
        <w:tc>
          <w:tcPr>
            <w:tcW w:w="38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6455561C" w14:textId="77777777" w:rsidR="00ED3ECE" w:rsidRDefault="009C0C8B">
            <w:pPr>
              <w:jc w:val="center"/>
            </w:pPr>
            <w:r>
              <w:rPr>
                <w:b/>
                <w:bCs/>
                <w:color w:val="FFFFFF"/>
                <w:sz w:val="15"/>
                <w:szCs w:val="15"/>
              </w:rPr>
              <w:t>Scoring Criteria</w:t>
            </w:r>
          </w:p>
        </w:tc>
        <w:tc>
          <w:tcPr>
            <w:tcW w:w="278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6455561D" w14:textId="77777777" w:rsidR="00ED3ECE" w:rsidRDefault="009C0C8B">
            <w:pPr>
              <w:jc w:val="center"/>
            </w:pPr>
            <w:r>
              <w:rPr>
                <w:b/>
                <w:bCs/>
                <w:color w:val="FFFFFF"/>
                <w:sz w:val="15"/>
                <w:szCs w:val="15"/>
              </w:rPr>
              <w:t>Next Step</w:t>
            </w:r>
          </w:p>
        </w:tc>
      </w:tr>
      <w:tr w:rsidR="00ED3ECE" w14:paraId="64555625"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6455561F" w14:textId="77777777" w:rsidR="00ED3ECE" w:rsidRDefault="009C0C8B">
            <w:pPr>
              <w:spacing w:before="20" w:after="20"/>
              <w:jc w:val="center"/>
            </w:pPr>
            <w:r>
              <w:rPr>
                <w:b/>
                <w:bCs/>
                <w:color w:val="1A1A1A"/>
                <w:sz w:val="17"/>
                <w:szCs w:val="17"/>
              </w:rPr>
              <w:t>23</w:t>
            </w:r>
          </w:p>
        </w:tc>
        <w:tc>
          <w:tcPr>
            <w:tcW w:w="12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64555620" w14:textId="77777777" w:rsidR="00ED3ECE" w:rsidRDefault="009C0C8B">
            <w:pPr>
              <w:spacing w:before="20" w:after="20"/>
            </w:pPr>
            <w:r>
              <w:rPr>
                <w:b/>
                <w:bCs/>
                <w:color w:val="2E75B6"/>
                <w:sz w:val="17"/>
                <w:szCs w:val="17"/>
              </w:rPr>
              <w:t>Awareness</w:t>
            </w:r>
          </w:p>
        </w:tc>
        <w:tc>
          <w:tcPr>
            <w:tcW w:w="5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64555621" w14:textId="77777777" w:rsidR="00ED3ECE" w:rsidRDefault="009C0C8B">
            <w:pPr>
              <w:spacing w:before="20" w:after="20"/>
              <w:jc w:val="center"/>
            </w:pPr>
            <w:r>
              <w:rPr>
                <w:b/>
                <w:bCs/>
                <w:color w:val="1A1A1A"/>
                <w:sz w:val="19"/>
                <w:szCs w:val="19"/>
              </w:rPr>
              <w:t>0</w:t>
            </w:r>
          </w:p>
        </w:tc>
        <w:tc>
          <w:tcPr>
            <w:tcW w:w="12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64555622" w14:textId="77777777" w:rsidR="00ED3ECE" w:rsidRDefault="009C0C8B">
            <w:pPr>
              <w:spacing w:before="20" w:after="20"/>
            </w:pPr>
            <w:r>
              <w:rPr>
                <w:i/>
                <w:iCs/>
                <w:color w:val="1A1A1A"/>
                <w:sz w:val="17"/>
                <w:szCs w:val="17"/>
              </w:rPr>
              <w:t>No Awareness</w:t>
            </w:r>
          </w:p>
        </w:tc>
        <w:tc>
          <w:tcPr>
            <w:tcW w:w="38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64555623" w14:textId="77777777" w:rsidR="00ED3ECE" w:rsidRDefault="009C0C8B">
            <w:pPr>
              <w:spacing w:before="20" w:after="20"/>
            </w:pPr>
            <w:r>
              <w:rPr>
                <w:color w:val="1A1A1A"/>
                <w:sz w:val="18"/>
                <w:szCs w:val="18"/>
              </w:rPr>
              <w:t>AND across all sources: Q9.1 is blank (unanswered) AND Q9.5 is blank AND Q9.3 is blank. The company provides no recognition of consultation mechanisms, CBA scope, or FoA risk status.</w:t>
            </w:r>
          </w:p>
        </w:tc>
        <w:tc>
          <w:tcPr>
            <w:tcW w:w="278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64555624" w14:textId="77777777" w:rsidR="00ED3ECE" w:rsidRDefault="009C0C8B">
            <w:pPr>
              <w:spacing w:before="20" w:after="20"/>
            </w:pPr>
            <w:r>
              <w:rPr>
                <w:i/>
                <w:iCs/>
                <w:color w:val="1A1A1A"/>
                <w:sz w:val="17"/>
                <w:szCs w:val="17"/>
              </w:rPr>
              <w:t>Answer Q9.1 (Yes or Not Yet) and Q9.5 (Yes or No). Complete Q9.3 to identify the scope of CBA coverage data. Even selecting Not Yet at Q9.1 and No at Q9.5 provides baseline recognition.</w:t>
            </w:r>
          </w:p>
        </w:tc>
      </w:tr>
      <w:tr w:rsidR="00ED3ECE" w14:paraId="6455562C"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64555626" w14:textId="77777777" w:rsidR="00ED3ECE" w:rsidRDefault="009C0C8B">
            <w:pPr>
              <w:spacing w:before="20" w:after="20"/>
              <w:jc w:val="center"/>
            </w:pPr>
            <w:r>
              <w:rPr>
                <w:b/>
                <w:bCs/>
                <w:color w:val="1A1A1A"/>
                <w:sz w:val="17"/>
                <w:szCs w:val="17"/>
              </w:rPr>
              <w:t>23</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64555627" w14:textId="77777777" w:rsidR="00ED3ECE" w:rsidRDefault="009C0C8B">
            <w:pPr>
              <w:spacing w:before="20" w:after="20"/>
            </w:pPr>
            <w:r>
              <w:rPr>
                <w:b/>
                <w:bCs/>
                <w:color w:val="2E75B6"/>
                <w:sz w:val="17"/>
                <w:szCs w:val="17"/>
              </w:rPr>
              <w:t>Awareness</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64555628" w14:textId="77777777" w:rsidR="00ED3ECE" w:rsidRDefault="009C0C8B">
            <w:pPr>
              <w:spacing w:before="20" w:after="20"/>
              <w:jc w:val="center"/>
            </w:pPr>
            <w:r>
              <w:rPr>
                <w:b/>
                <w:bCs/>
                <w:color w:val="1A1A1A"/>
                <w:sz w:val="19"/>
                <w:szCs w:val="19"/>
              </w:rPr>
              <w:t>1</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64555629" w14:textId="77777777" w:rsidR="00ED3ECE" w:rsidRDefault="009C0C8B">
            <w:pPr>
              <w:spacing w:before="20" w:after="20"/>
            </w:pPr>
            <w:r>
              <w:rPr>
                <w:i/>
                <w:iCs/>
                <w:color w:val="1A1A1A"/>
                <w:sz w:val="17"/>
                <w:szCs w:val="17"/>
              </w:rPr>
              <w:t>Minimal Awareness</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6455562A" w14:textId="77777777" w:rsidR="00ED3ECE" w:rsidRDefault="009C0C8B">
            <w:pPr>
              <w:spacing w:before="20" w:after="20"/>
            </w:pPr>
            <w:r>
              <w:rPr>
                <w:color w:val="1A1A1A"/>
                <w:sz w:val="18"/>
                <w:szCs w:val="18"/>
              </w:rPr>
              <w:t>OR across sources: at least one gate (Q9.1 or Q9.5) is answered, but coverage is minimal: only one gate answered, or Q9.1 = Not Yet with Q9.1b blank or vague, and Q9.3 is blank. The company has minimal engagement with recognition across the topic.</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6455562B" w14:textId="77777777" w:rsidR="00ED3ECE" w:rsidRDefault="009C0C8B">
            <w:pPr>
              <w:spacing w:before="20" w:after="20"/>
            </w:pPr>
            <w:r>
              <w:rPr>
                <w:i/>
                <w:iCs/>
                <w:color w:val="1A1A1A"/>
                <w:sz w:val="17"/>
                <w:szCs w:val="17"/>
              </w:rPr>
              <w:t>Answer both Q9.1 and Q9.5. Complete Q9.3 to contextualise CBA coverage. If Q9.1 = Not Yet, include a specific roadmap or expected date in Q9.1b to lift Awareness to score 3.</w:t>
            </w:r>
          </w:p>
        </w:tc>
      </w:tr>
      <w:tr w:rsidR="00ED3ECE" w14:paraId="64555633"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6455562D" w14:textId="77777777" w:rsidR="00ED3ECE" w:rsidRDefault="009C0C8B">
            <w:pPr>
              <w:spacing w:before="20" w:after="20"/>
              <w:jc w:val="center"/>
            </w:pPr>
            <w:r>
              <w:rPr>
                <w:b/>
                <w:bCs/>
                <w:color w:val="1A1A1A"/>
                <w:sz w:val="17"/>
                <w:szCs w:val="17"/>
              </w:rPr>
              <w:t>23</w:t>
            </w:r>
          </w:p>
        </w:tc>
        <w:tc>
          <w:tcPr>
            <w:tcW w:w="12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6455562E" w14:textId="77777777" w:rsidR="00ED3ECE" w:rsidRDefault="009C0C8B">
            <w:pPr>
              <w:spacing w:before="20" w:after="20"/>
            </w:pPr>
            <w:r>
              <w:rPr>
                <w:b/>
                <w:bCs/>
                <w:color w:val="2E75B6"/>
                <w:sz w:val="17"/>
                <w:szCs w:val="17"/>
              </w:rPr>
              <w:t>Awareness</w:t>
            </w:r>
          </w:p>
        </w:tc>
        <w:tc>
          <w:tcPr>
            <w:tcW w:w="5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6455562F" w14:textId="77777777" w:rsidR="00ED3ECE" w:rsidRDefault="009C0C8B">
            <w:pPr>
              <w:spacing w:before="20" w:after="20"/>
              <w:jc w:val="center"/>
            </w:pPr>
            <w:r>
              <w:rPr>
                <w:b/>
                <w:bCs/>
                <w:color w:val="1A1A1A"/>
                <w:sz w:val="19"/>
                <w:szCs w:val="19"/>
              </w:rPr>
              <w:t>3</w:t>
            </w:r>
          </w:p>
        </w:tc>
        <w:tc>
          <w:tcPr>
            <w:tcW w:w="12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64555630" w14:textId="77777777" w:rsidR="00ED3ECE" w:rsidRDefault="009C0C8B">
            <w:pPr>
              <w:spacing w:before="20" w:after="20"/>
            </w:pPr>
            <w:r>
              <w:rPr>
                <w:i/>
                <w:iCs/>
                <w:color w:val="1A1A1A"/>
                <w:sz w:val="17"/>
                <w:szCs w:val="17"/>
              </w:rPr>
              <w:t>Adequate Awareness</w:t>
            </w:r>
          </w:p>
        </w:tc>
        <w:tc>
          <w:tcPr>
            <w:tcW w:w="38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64555631" w14:textId="77777777" w:rsidR="00ED3ECE" w:rsidRDefault="009C0C8B">
            <w:pPr>
              <w:spacing w:before="20" w:after="20"/>
            </w:pPr>
            <w:r>
              <w:rPr>
                <w:color w:val="1A1A1A"/>
                <w:sz w:val="18"/>
                <w:szCs w:val="18"/>
              </w:rPr>
              <w:t>OR across sources: Q9.1 = Yes (full recognition that consultation mechanism exists) OR Q9.1 = Not Yet with Q9.1b providing specific plans with a roadmap/expected date (capped). AND Q9.3 is completed (scope of CBA data contextualised). AND Q9.5 is answered (Yes or No). Strength in Q9.1 engagement AND Q9.3 completion AND Q9.5 gate = adequate recognition.</w:t>
            </w:r>
          </w:p>
        </w:tc>
        <w:tc>
          <w:tcPr>
            <w:tcW w:w="278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64555632" w14:textId="77777777" w:rsidR="00ED3ECE" w:rsidRDefault="009C0C8B">
            <w:pPr>
              <w:spacing w:before="20" w:after="20"/>
            </w:pPr>
            <w:r>
              <w:rPr>
                <w:i/>
                <w:iCs/>
                <w:color w:val="1A1A1A"/>
                <w:sz w:val="17"/>
                <w:szCs w:val="17"/>
              </w:rPr>
              <w:t>For score 5 (AND): Q9.1 must be Yes AND Q9.3 fully complete AND Q9.5 answered AND, if Q9.5 = Yes, Q9.5a must name at least one specific risk instance.</w:t>
            </w:r>
          </w:p>
        </w:tc>
      </w:tr>
      <w:tr w:rsidR="00ED3ECE" w14:paraId="6455563A"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64555634" w14:textId="77777777" w:rsidR="00ED3ECE" w:rsidRDefault="009C0C8B">
            <w:pPr>
              <w:spacing w:before="20" w:after="20"/>
              <w:jc w:val="center"/>
            </w:pPr>
            <w:r>
              <w:rPr>
                <w:b/>
                <w:bCs/>
                <w:color w:val="1A1A1A"/>
                <w:sz w:val="17"/>
                <w:szCs w:val="17"/>
              </w:rPr>
              <w:t>23</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64555635" w14:textId="77777777" w:rsidR="00ED3ECE" w:rsidRDefault="009C0C8B">
            <w:pPr>
              <w:spacing w:before="20" w:after="20"/>
            </w:pPr>
            <w:r>
              <w:rPr>
                <w:b/>
                <w:bCs/>
                <w:color w:val="2E75B6"/>
                <w:sz w:val="17"/>
                <w:szCs w:val="17"/>
              </w:rPr>
              <w:t>Awareness</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64555636" w14:textId="77777777" w:rsidR="00ED3ECE" w:rsidRDefault="009C0C8B">
            <w:pPr>
              <w:spacing w:before="20" w:after="20"/>
              <w:jc w:val="center"/>
            </w:pPr>
            <w:r>
              <w:rPr>
                <w:b/>
                <w:bCs/>
                <w:color w:val="1A1A1A"/>
                <w:sz w:val="19"/>
                <w:szCs w:val="19"/>
              </w:rPr>
              <w:t>5</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64555637" w14:textId="77777777" w:rsidR="00ED3ECE" w:rsidRDefault="009C0C8B">
            <w:pPr>
              <w:spacing w:before="20" w:after="20"/>
            </w:pPr>
            <w:r>
              <w:rPr>
                <w:i/>
                <w:iCs/>
                <w:color w:val="1A1A1A"/>
                <w:sz w:val="17"/>
                <w:szCs w:val="17"/>
              </w:rPr>
              <w:t>Leading Awareness</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64555638" w14:textId="77777777" w:rsidR="00ED3ECE" w:rsidRDefault="009C0C8B">
            <w:pPr>
              <w:spacing w:before="20" w:after="20"/>
            </w:pPr>
            <w:r>
              <w:rPr>
                <w:color w:val="1A1A1A"/>
                <w:sz w:val="18"/>
                <w:szCs w:val="18"/>
              </w:rPr>
              <w:t>AND across all sources: Q9.1 = Yes AND Q9.3 fully complete (scope of CBA data clearly identified) AND Q9.5 is answered (Yes or No). If Q9.5 = Yes: Q9.5a names at least one specific instance where FoA risks or violations were identified. A Not Yet at Q9.1 prevents score 5 regardless of Q9.1b quality.</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64555639" w14:textId="77777777" w:rsidR="00ED3ECE" w:rsidRDefault="009C0C8B">
            <w:pPr>
              <w:spacing w:before="20" w:after="20"/>
            </w:pPr>
            <w:r>
              <w:rPr>
                <w:i/>
                <w:iCs/>
                <w:color w:val="1A1A1A"/>
                <w:sz w:val="17"/>
                <w:szCs w:val="17"/>
              </w:rPr>
              <w:t>Highest level achieved. Maintain full gate engagement and keep CBA scope and risk identification current.</w:t>
            </w:r>
          </w:p>
        </w:tc>
      </w:tr>
      <w:tr w:rsidR="00ED3ECE" w14:paraId="64555641"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6455563B" w14:textId="77777777" w:rsidR="00ED3ECE" w:rsidRDefault="009C0C8B">
            <w:pPr>
              <w:spacing w:before="20" w:after="20"/>
              <w:jc w:val="center"/>
            </w:pPr>
            <w:r>
              <w:rPr>
                <w:b/>
                <w:bCs/>
                <w:color w:val="1A1A1A"/>
                <w:sz w:val="17"/>
                <w:szCs w:val="17"/>
              </w:rPr>
              <w:t>23</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6455563C" w14:textId="77777777" w:rsidR="00ED3ECE" w:rsidRDefault="009C0C8B">
            <w:pPr>
              <w:spacing w:before="20" w:after="20"/>
            </w:pPr>
            <w:r>
              <w:rPr>
                <w:b/>
                <w:bCs/>
                <w:color w:val="70AD47"/>
                <w:sz w:val="17"/>
                <w:szCs w:val="17"/>
              </w:rPr>
              <w:t>Approach</w:t>
            </w:r>
          </w:p>
        </w:tc>
        <w:tc>
          <w:tcPr>
            <w:tcW w:w="5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6455563D" w14:textId="77777777" w:rsidR="00ED3ECE" w:rsidRDefault="009C0C8B">
            <w:pPr>
              <w:spacing w:before="20" w:after="20"/>
              <w:jc w:val="center"/>
            </w:pPr>
            <w:r>
              <w:rPr>
                <w:b/>
                <w:bCs/>
                <w:color w:val="1A1A1A"/>
                <w:sz w:val="19"/>
                <w:szCs w:val="19"/>
              </w:rPr>
              <w:t>0</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6455563E" w14:textId="77777777" w:rsidR="00ED3ECE" w:rsidRDefault="009C0C8B">
            <w:pPr>
              <w:spacing w:before="20" w:after="20"/>
            </w:pPr>
            <w:r>
              <w:rPr>
                <w:i/>
                <w:iCs/>
                <w:color w:val="1A1A1A"/>
                <w:sz w:val="17"/>
                <w:szCs w:val="17"/>
              </w:rPr>
              <w:t>No Approach</w:t>
            </w:r>
          </w:p>
        </w:tc>
        <w:tc>
          <w:tcPr>
            <w:tcW w:w="38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6455563F" w14:textId="77777777" w:rsidR="00ED3ECE" w:rsidRDefault="009C0C8B">
            <w:pPr>
              <w:spacing w:before="20" w:after="20"/>
            </w:pPr>
            <w:r>
              <w:rPr>
                <w:color w:val="1A1A1A"/>
                <w:sz w:val="18"/>
                <w:szCs w:val="18"/>
              </w:rPr>
              <w:t>AND across all sources: Q9.1a is blank (if Q9.1 = Yes) AND Q9.1b is blank (if Q9.1 = Not Yet) AND Q9.5a process elements are absent AND Q9.5b is blank AND Q9.6 is blank. No governance information is provided from any source.</w:t>
            </w:r>
          </w:p>
        </w:tc>
        <w:tc>
          <w:tcPr>
            <w:tcW w:w="278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64555640" w14:textId="77777777" w:rsidR="00ED3ECE" w:rsidRDefault="009C0C8B">
            <w:pPr>
              <w:spacing w:before="20" w:after="20"/>
            </w:pPr>
            <w:r>
              <w:rPr>
                <w:i/>
                <w:iCs/>
                <w:color w:val="1A1A1A"/>
                <w:sz w:val="17"/>
                <w:szCs w:val="17"/>
              </w:rPr>
              <w:t>If Q9.1 = Yes: complete Q9.1a with at least one stakeholder group, process description, and frequency. Complete Q9.6 with at least one non-employee contract type and how CB rights are addressed. If Q9.1 = Not Yet: describe alternative measures in Q9.1b.</w:t>
            </w:r>
          </w:p>
        </w:tc>
      </w:tr>
      <w:tr w:rsidR="00ED3ECE" w14:paraId="64555648"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64555642" w14:textId="77777777" w:rsidR="00ED3ECE" w:rsidRDefault="009C0C8B">
            <w:pPr>
              <w:spacing w:before="20" w:after="20"/>
              <w:jc w:val="center"/>
            </w:pPr>
            <w:r>
              <w:rPr>
                <w:b/>
                <w:bCs/>
                <w:color w:val="1A1A1A"/>
                <w:sz w:val="17"/>
                <w:szCs w:val="17"/>
              </w:rPr>
              <w:t>23</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64555643" w14:textId="77777777" w:rsidR="00ED3ECE" w:rsidRDefault="009C0C8B">
            <w:pPr>
              <w:spacing w:before="20" w:after="20"/>
            </w:pPr>
            <w:r>
              <w:rPr>
                <w:b/>
                <w:bCs/>
                <w:color w:val="70AD47"/>
                <w:sz w:val="17"/>
                <w:szCs w:val="17"/>
              </w:rPr>
              <w:t>Approach</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64555644" w14:textId="77777777" w:rsidR="00ED3ECE" w:rsidRDefault="009C0C8B">
            <w:pPr>
              <w:spacing w:before="20" w:after="20"/>
              <w:jc w:val="center"/>
            </w:pPr>
            <w:r>
              <w:rPr>
                <w:b/>
                <w:bCs/>
                <w:color w:val="1A1A1A"/>
                <w:sz w:val="19"/>
                <w:szCs w:val="19"/>
              </w:rPr>
              <w:t>1</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64555645" w14:textId="77777777" w:rsidR="00ED3ECE" w:rsidRDefault="009C0C8B">
            <w:pPr>
              <w:spacing w:before="20" w:after="20"/>
            </w:pPr>
            <w:r>
              <w:rPr>
                <w:i/>
                <w:iCs/>
                <w:color w:val="1A1A1A"/>
                <w:sz w:val="17"/>
                <w:szCs w:val="17"/>
              </w:rPr>
              <w:t>Minimal Approach</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64555646" w14:textId="77777777" w:rsidR="00ED3ECE" w:rsidRDefault="009C0C8B">
            <w:pPr>
              <w:spacing w:before="20" w:after="20"/>
            </w:pPr>
            <w:r>
              <w:rPr>
                <w:color w:val="1A1A1A"/>
                <w:sz w:val="18"/>
                <w:szCs w:val="18"/>
              </w:rPr>
              <w:t>OR across sources: Q9.1a selects stakeholder types but provides minimal process description (one sentence, no format or format of consultation); OR Q9.6 has one contract type row with brief description; OR Q9.1b mentions an alternative measure exists without specifics; OR Q9.5a/b describes a process in general terms. Some governance signal exists.</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64555647" w14:textId="77777777" w:rsidR="00ED3ECE" w:rsidRDefault="009C0C8B">
            <w:pPr>
              <w:spacing w:before="20" w:after="20"/>
            </w:pPr>
            <w:r>
              <w:rPr>
                <w:i/>
                <w:iCs/>
                <w:color w:val="1A1A1A"/>
                <w:sz w:val="17"/>
                <w:szCs w:val="17"/>
              </w:rPr>
              <w:t>In Q9.1a, describe HOW consultation is conducted: the format (in-person, surveys, platforms), typical participants, and regularity. In Q9.6, describe whether CB rights are incorporated into labour provider contracts and any supporting incentives or external guidelines. In Q9.5a/b, describe the risk identification process and scope.</w:t>
            </w:r>
          </w:p>
        </w:tc>
      </w:tr>
      <w:tr w:rsidR="00ED3ECE" w14:paraId="6455564F"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64555649" w14:textId="77777777" w:rsidR="00ED3ECE" w:rsidRDefault="009C0C8B">
            <w:pPr>
              <w:spacing w:before="20" w:after="20"/>
              <w:jc w:val="center"/>
            </w:pPr>
            <w:r>
              <w:rPr>
                <w:b/>
                <w:bCs/>
                <w:color w:val="1A1A1A"/>
                <w:sz w:val="17"/>
                <w:szCs w:val="17"/>
              </w:rPr>
              <w:t>23</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6455564A" w14:textId="77777777" w:rsidR="00ED3ECE" w:rsidRDefault="009C0C8B">
            <w:pPr>
              <w:spacing w:before="20" w:after="20"/>
            </w:pPr>
            <w:r>
              <w:rPr>
                <w:b/>
                <w:bCs/>
                <w:color w:val="70AD47"/>
                <w:sz w:val="17"/>
                <w:szCs w:val="17"/>
              </w:rPr>
              <w:t>Approach</w:t>
            </w:r>
          </w:p>
        </w:tc>
        <w:tc>
          <w:tcPr>
            <w:tcW w:w="5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6455564B" w14:textId="77777777" w:rsidR="00ED3ECE" w:rsidRDefault="009C0C8B">
            <w:pPr>
              <w:spacing w:before="20" w:after="20"/>
              <w:jc w:val="center"/>
            </w:pPr>
            <w:r>
              <w:rPr>
                <w:b/>
                <w:bCs/>
                <w:color w:val="1A1A1A"/>
                <w:sz w:val="19"/>
                <w:szCs w:val="19"/>
              </w:rPr>
              <w:t>2</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6455564C" w14:textId="77777777" w:rsidR="00ED3ECE" w:rsidRDefault="009C0C8B">
            <w:pPr>
              <w:spacing w:before="20" w:after="20"/>
            </w:pPr>
            <w:r>
              <w:rPr>
                <w:i/>
                <w:iCs/>
                <w:color w:val="1A1A1A"/>
                <w:sz w:val="17"/>
                <w:szCs w:val="17"/>
              </w:rPr>
              <w:t>Basic Approach</w:t>
            </w:r>
          </w:p>
        </w:tc>
        <w:tc>
          <w:tcPr>
            <w:tcW w:w="38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6455564D" w14:textId="77777777" w:rsidR="00ED3ECE" w:rsidRDefault="009C0C8B">
            <w:pPr>
              <w:spacing w:before="20" w:after="20"/>
            </w:pPr>
            <w:r>
              <w:rPr>
                <w:color w:val="1A1A1A"/>
                <w:sz w:val="18"/>
                <w:szCs w:val="18"/>
              </w:rPr>
              <w:t xml:space="preserve">OR across sources: Q9.1a covers 1–2 stakeholder groups with descriptions </w:t>
            </w:r>
            <w:r>
              <w:rPr>
                <w:color w:val="1A1A1A"/>
                <w:sz w:val="18"/>
                <w:szCs w:val="18"/>
              </w:rPr>
              <w:lastRenderedPageBreak/>
              <w:t>addressing consultation format and frequency but not participants or how input is incorporated; OR Q9.6 addresses the contractual inclusion of CB rights but without incentives or external frameworks; OR Q9.5a/b describes the risk identification or prevention process with reasonable specificity but without effectiveness monitoring. One sub-area addressed reasonably.</w:t>
            </w:r>
          </w:p>
        </w:tc>
        <w:tc>
          <w:tcPr>
            <w:tcW w:w="278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6455564E" w14:textId="77777777" w:rsidR="00ED3ECE" w:rsidRDefault="009C0C8B">
            <w:pPr>
              <w:spacing w:before="20" w:after="20"/>
            </w:pPr>
            <w:r>
              <w:rPr>
                <w:i/>
                <w:iCs/>
                <w:color w:val="1A1A1A"/>
                <w:sz w:val="17"/>
                <w:szCs w:val="17"/>
              </w:rPr>
              <w:lastRenderedPageBreak/>
              <w:t xml:space="preserve">In Q9.1a, add typical participants and how input is </w:t>
            </w:r>
            <w:r>
              <w:rPr>
                <w:i/>
                <w:iCs/>
                <w:color w:val="1A1A1A"/>
                <w:sz w:val="17"/>
                <w:szCs w:val="17"/>
              </w:rPr>
              <w:lastRenderedPageBreak/>
              <w:t>incorporated into practical outcomes. In Q9.6, add any incentives for labour providers and whether third parties must cascade rights. In Q9.5a, add how effectiveness of actions is monitored (G2).</w:t>
            </w:r>
          </w:p>
        </w:tc>
      </w:tr>
      <w:tr w:rsidR="00ED3ECE" w14:paraId="64555656"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64555650" w14:textId="77777777" w:rsidR="00ED3ECE" w:rsidRDefault="009C0C8B">
            <w:pPr>
              <w:spacing w:before="20" w:after="20"/>
              <w:jc w:val="center"/>
            </w:pPr>
            <w:r>
              <w:rPr>
                <w:b/>
                <w:bCs/>
                <w:color w:val="1A1A1A"/>
                <w:sz w:val="17"/>
                <w:szCs w:val="17"/>
              </w:rPr>
              <w:lastRenderedPageBreak/>
              <w:t>23</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64555651" w14:textId="77777777" w:rsidR="00ED3ECE" w:rsidRDefault="009C0C8B">
            <w:pPr>
              <w:spacing w:before="20" w:after="20"/>
            </w:pPr>
            <w:r>
              <w:rPr>
                <w:b/>
                <w:bCs/>
                <w:color w:val="70AD47"/>
                <w:sz w:val="17"/>
                <w:szCs w:val="17"/>
              </w:rPr>
              <w:t>Approach</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64555652" w14:textId="77777777" w:rsidR="00ED3ECE" w:rsidRDefault="009C0C8B">
            <w:pPr>
              <w:spacing w:before="20" w:after="20"/>
              <w:jc w:val="center"/>
            </w:pPr>
            <w:r>
              <w:rPr>
                <w:b/>
                <w:bCs/>
                <w:color w:val="1A1A1A"/>
                <w:sz w:val="19"/>
                <w:szCs w:val="19"/>
              </w:rPr>
              <w:t>3</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64555653" w14:textId="77777777" w:rsidR="00ED3ECE" w:rsidRDefault="009C0C8B">
            <w:pPr>
              <w:spacing w:before="20" w:after="20"/>
            </w:pPr>
            <w:r>
              <w:rPr>
                <w:i/>
                <w:iCs/>
                <w:color w:val="1A1A1A"/>
                <w:sz w:val="17"/>
                <w:szCs w:val="17"/>
              </w:rPr>
              <w:t>Adequate Approach</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64555654" w14:textId="77777777" w:rsidR="00ED3ECE" w:rsidRDefault="009C0C8B">
            <w:pPr>
              <w:spacing w:before="20" w:after="20"/>
            </w:pPr>
            <w:r>
              <w:rPr>
                <w:color w:val="1A1A1A"/>
                <w:sz w:val="18"/>
                <w:szCs w:val="18"/>
              </w:rPr>
              <w:t>OR across sources: Q9.1a (if Yes) covers multiple stakeholder groups (Workers AND either Trade Unions or Worker Representative Bodies) with process descriptions addressing format, participants, and frequency; OR Q9.5a (if Yes) describes both the risk identification process and G2 monitoring element; OR Q9.5b (if No) describes the prevention process with specificity including scope and regularity; OR Q9.6 addresses CB rights incorporation, incentives, and external frameworks. Strength in any one sub-area rea</w:t>
            </w:r>
            <w:r>
              <w:rPr>
                <w:color w:val="1A1A1A"/>
                <w:sz w:val="18"/>
                <w:szCs w:val="18"/>
              </w:rPr>
              <w:t>ches this level. Q9.1b (if Not Yet, CAPPED AT THIS LEVEL) with substantive alternative measures also reaches 3.</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64555655" w14:textId="77777777" w:rsidR="00ED3ECE" w:rsidRDefault="009C0C8B">
            <w:pPr>
              <w:spacing w:before="20" w:after="20"/>
            </w:pPr>
            <w:r>
              <w:rPr>
                <w:i/>
                <w:iCs/>
                <w:color w:val="1A1A1A"/>
                <w:sz w:val="17"/>
                <w:szCs w:val="17"/>
              </w:rPr>
              <w:t>For score 5 (AND): Q9.1a (if Yes) must cover all three G1 elements and Q9.6 must be substantive with G2 monitoring process; Q9.5a/b must address process, scope, and effectiveness monitoring. All applicable Approach sources must independently meet the adequate standard.</w:t>
            </w:r>
          </w:p>
        </w:tc>
      </w:tr>
      <w:tr w:rsidR="00ED3ECE" w14:paraId="6455565D"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64555657" w14:textId="77777777" w:rsidR="00ED3ECE" w:rsidRDefault="009C0C8B">
            <w:pPr>
              <w:spacing w:before="20" w:after="20"/>
              <w:jc w:val="center"/>
            </w:pPr>
            <w:r>
              <w:rPr>
                <w:b/>
                <w:bCs/>
                <w:color w:val="1A1A1A"/>
                <w:sz w:val="17"/>
                <w:szCs w:val="17"/>
              </w:rPr>
              <w:t>23</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64555658" w14:textId="77777777" w:rsidR="00ED3ECE" w:rsidRDefault="009C0C8B">
            <w:pPr>
              <w:spacing w:before="20" w:after="20"/>
            </w:pPr>
            <w:r>
              <w:rPr>
                <w:b/>
                <w:bCs/>
                <w:color w:val="70AD47"/>
                <w:sz w:val="17"/>
                <w:szCs w:val="17"/>
              </w:rPr>
              <w:t>Approach</w:t>
            </w:r>
          </w:p>
        </w:tc>
        <w:tc>
          <w:tcPr>
            <w:tcW w:w="5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64555659" w14:textId="77777777" w:rsidR="00ED3ECE" w:rsidRDefault="009C0C8B">
            <w:pPr>
              <w:spacing w:before="20" w:after="20"/>
              <w:jc w:val="center"/>
            </w:pPr>
            <w:r>
              <w:rPr>
                <w:b/>
                <w:bCs/>
                <w:color w:val="1A1A1A"/>
                <w:sz w:val="19"/>
                <w:szCs w:val="19"/>
              </w:rPr>
              <w:t>5</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6455565A" w14:textId="77777777" w:rsidR="00ED3ECE" w:rsidRDefault="009C0C8B">
            <w:pPr>
              <w:spacing w:before="20" w:after="20"/>
            </w:pPr>
            <w:r>
              <w:rPr>
                <w:i/>
                <w:iCs/>
                <w:color w:val="1A1A1A"/>
                <w:sz w:val="17"/>
                <w:szCs w:val="17"/>
              </w:rPr>
              <w:t>Leading Approach</w:t>
            </w:r>
          </w:p>
        </w:tc>
        <w:tc>
          <w:tcPr>
            <w:tcW w:w="38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6455565B" w14:textId="77777777" w:rsidR="00ED3ECE" w:rsidRDefault="009C0C8B">
            <w:pPr>
              <w:spacing w:before="20" w:after="20"/>
            </w:pPr>
            <w:r>
              <w:rPr>
                <w:color w:val="1A1A1A"/>
                <w:sz w:val="18"/>
                <w:szCs w:val="18"/>
              </w:rPr>
              <w:t xml:space="preserve">AND across all applicable Yes-path sources (Not Yet sub-areas cannot reach this level). Q9.1a (if Q9.1 = Yes): must cover all three G1 elements (steps/format for gaining worker input; typical participants; regularity of consultation) for at least two stakeholder groups. Q9.5a (if Q9.5 = Yes): must describe the risk identification process AND at least one G2 element (effectiveness monitoring, challenges faced, or improvements seen). Q9.5b (if Q9.5 = No): must describe the preventative process with scope and </w:t>
            </w:r>
            <w:r>
              <w:rPr>
                <w:color w:val="1A1A1A"/>
                <w:sz w:val="18"/>
                <w:szCs w:val="18"/>
              </w:rPr>
              <w:t>regularity AND G2 (how effectiveness of preventative measures is ensured). Q9.6 (always): must address CB rights incorporation into labour provider contracts AND at least one of: relevant incentives, external guidelines/multi-stakeholder initiatives. G2 bonus: monitoring process for labour provider CB commitments.</w:t>
            </w:r>
          </w:p>
        </w:tc>
        <w:tc>
          <w:tcPr>
            <w:tcW w:w="278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6455565C" w14:textId="77777777" w:rsidR="00ED3ECE" w:rsidRDefault="009C0C8B">
            <w:pPr>
              <w:spacing w:before="20" w:after="20"/>
            </w:pPr>
            <w:r>
              <w:rPr>
                <w:i/>
                <w:iCs/>
                <w:color w:val="1A1A1A"/>
                <w:sz w:val="17"/>
                <w:szCs w:val="17"/>
              </w:rPr>
              <w:t>Highest level achieved. Maintain comprehensive FoA and CB governance documentation across all applicable sub-areas.</w:t>
            </w:r>
          </w:p>
        </w:tc>
      </w:tr>
      <w:tr w:rsidR="00ED3ECE" w14:paraId="64555664"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6455565E" w14:textId="77777777" w:rsidR="00ED3ECE" w:rsidRDefault="009C0C8B">
            <w:pPr>
              <w:spacing w:before="20" w:after="20"/>
              <w:jc w:val="center"/>
            </w:pPr>
            <w:r>
              <w:rPr>
                <w:b/>
                <w:bCs/>
                <w:color w:val="1A1A1A"/>
                <w:sz w:val="17"/>
                <w:szCs w:val="17"/>
              </w:rPr>
              <w:t>23</w:t>
            </w:r>
          </w:p>
        </w:tc>
        <w:tc>
          <w:tcPr>
            <w:tcW w:w="12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6455565F" w14:textId="77777777" w:rsidR="00ED3ECE" w:rsidRDefault="009C0C8B">
            <w:pPr>
              <w:spacing w:before="20" w:after="20"/>
            </w:pPr>
            <w:r>
              <w:rPr>
                <w:b/>
                <w:bCs/>
                <w:color w:val="ED7D31"/>
                <w:sz w:val="17"/>
                <w:szCs w:val="17"/>
              </w:rPr>
              <w:t>Action</w:t>
            </w:r>
          </w:p>
        </w:tc>
        <w:tc>
          <w:tcPr>
            <w:tcW w:w="5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64555660" w14:textId="77777777" w:rsidR="00ED3ECE" w:rsidRDefault="009C0C8B">
            <w:pPr>
              <w:spacing w:before="20" w:after="20"/>
              <w:jc w:val="center"/>
            </w:pPr>
            <w:r>
              <w:rPr>
                <w:b/>
                <w:bCs/>
                <w:color w:val="1A1A1A"/>
                <w:sz w:val="19"/>
                <w:szCs w:val="19"/>
              </w:rPr>
              <w:t>0</w:t>
            </w:r>
          </w:p>
        </w:tc>
        <w:tc>
          <w:tcPr>
            <w:tcW w:w="12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64555661" w14:textId="77777777" w:rsidR="00ED3ECE" w:rsidRDefault="009C0C8B">
            <w:pPr>
              <w:spacing w:before="20" w:after="20"/>
            </w:pPr>
            <w:r>
              <w:rPr>
                <w:i/>
                <w:iCs/>
                <w:color w:val="1A1A1A"/>
                <w:sz w:val="17"/>
                <w:szCs w:val="17"/>
              </w:rPr>
              <w:t>No Action</w:t>
            </w:r>
          </w:p>
        </w:tc>
        <w:tc>
          <w:tcPr>
            <w:tcW w:w="38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64555662" w14:textId="77777777" w:rsidR="00ED3ECE" w:rsidRDefault="009C0C8B">
            <w:pPr>
              <w:spacing w:before="20" w:after="20"/>
            </w:pPr>
            <w:r>
              <w:rPr>
                <w:color w:val="1A1A1A"/>
                <w:sz w:val="18"/>
                <w:szCs w:val="18"/>
              </w:rPr>
              <w:t>AND across all sources: Q9.2 is blank (no overall CBA coverage figure) AND Q9.4 is blank (no location-level data) AND Q9.1a G2 outcomes absent AND Q9.5a/b examples absent. No quantitative CBA data and no practical outcomes evidence provided.</w:t>
            </w:r>
          </w:p>
        </w:tc>
        <w:tc>
          <w:tcPr>
            <w:tcW w:w="278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64555663" w14:textId="77777777" w:rsidR="00ED3ECE" w:rsidRDefault="009C0C8B">
            <w:pPr>
              <w:spacing w:before="20" w:after="20"/>
            </w:pPr>
            <w:r>
              <w:rPr>
                <w:i/>
                <w:iCs/>
                <w:color w:val="1A1A1A"/>
                <w:sz w:val="17"/>
                <w:szCs w:val="17"/>
              </w:rPr>
              <w:t>Provide at minimum the overall percentage of employees covered by collective bargaining agreements in Q9.2. Even a single figure with a scope statement in Q9.3 demonstrates basic Action.</w:t>
            </w:r>
          </w:p>
        </w:tc>
      </w:tr>
      <w:tr w:rsidR="00ED3ECE" w14:paraId="6455566B"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64555665" w14:textId="77777777" w:rsidR="00ED3ECE" w:rsidRDefault="009C0C8B">
            <w:pPr>
              <w:spacing w:before="20" w:after="20"/>
              <w:jc w:val="center"/>
            </w:pPr>
            <w:r>
              <w:rPr>
                <w:b/>
                <w:bCs/>
                <w:color w:val="1A1A1A"/>
                <w:sz w:val="17"/>
                <w:szCs w:val="17"/>
              </w:rPr>
              <w:t>23</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64555666" w14:textId="77777777" w:rsidR="00ED3ECE" w:rsidRDefault="009C0C8B">
            <w:pPr>
              <w:spacing w:before="20" w:after="20"/>
            </w:pPr>
            <w:r>
              <w:rPr>
                <w:b/>
                <w:bCs/>
                <w:color w:val="ED7D31"/>
                <w:sz w:val="17"/>
                <w:szCs w:val="17"/>
              </w:rPr>
              <w:t>Action</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64555667" w14:textId="77777777" w:rsidR="00ED3ECE" w:rsidRDefault="009C0C8B">
            <w:pPr>
              <w:spacing w:before="20" w:after="20"/>
              <w:jc w:val="center"/>
            </w:pPr>
            <w:r>
              <w:rPr>
                <w:b/>
                <w:bCs/>
                <w:color w:val="1A1A1A"/>
                <w:sz w:val="19"/>
                <w:szCs w:val="19"/>
              </w:rPr>
              <w:t>1</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64555668" w14:textId="77777777" w:rsidR="00ED3ECE" w:rsidRDefault="009C0C8B">
            <w:pPr>
              <w:spacing w:before="20" w:after="20"/>
            </w:pPr>
            <w:r>
              <w:rPr>
                <w:i/>
                <w:iCs/>
                <w:color w:val="1A1A1A"/>
                <w:sz w:val="17"/>
                <w:szCs w:val="17"/>
              </w:rPr>
              <w:t>Minimal Action</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64555669" w14:textId="77777777" w:rsidR="00ED3ECE" w:rsidRDefault="009C0C8B">
            <w:pPr>
              <w:spacing w:before="20" w:after="20"/>
            </w:pPr>
            <w:r>
              <w:rPr>
                <w:color w:val="1A1A1A"/>
                <w:sz w:val="18"/>
                <w:szCs w:val="18"/>
              </w:rPr>
              <w:t xml:space="preserve">OR across sources: Q9.2 provides an overall CBA coverage % (with or without </w:t>
            </w:r>
            <w:r>
              <w:rPr>
                <w:color w:val="1A1A1A"/>
                <w:sz w:val="18"/>
                <w:szCs w:val="18"/>
              </w:rPr>
              <w:lastRenderedPageBreak/>
              <w:t>Q9.3 scope), but Q9.4 is blank; OR Q9.5a/b provides a brief action example without specifics. Some quantitative or outcomes evidence exists but is too thin.</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6455566A" w14:textId="77777777" w:rsidR="00ED3ECE" w:rsidRDefault="009C0C8B">
            <w:pPr>
              <w:spacing w:before="20" w:after="20"/>
            </w:pPr>
            <w:r>
              <w:rPr>
                <w:i/>
                <w:iCs/>
                <w:color w:val="1A1A1A"/>
                <w:sz w:val="17"/>
                <w:szCs w:val="17"/>
              </w:rPr>
              <w:lastRenderedPageBreak/>
              <w:t xml:space="preserve">Complete Q9.4 with CBA coverage percentages for the </w:t>
            </w:r>
            <w:r>
              <w:rPr>
                <w:i/>
                <w:iCs/>
                <w:color w:val="1A1A1A"/>
                <w:sz w:val="17"/>
                <w:szCs w:val="17"/>
              </w:rPr>
              <w:lastRenderedPageBreak/>
              <w:t>company’s significant operating locations. This adds location-level transparency to the overall figure in Q9.2. Where location breakdown is unavailable, state the total figure and explain why location-level data is not available.</w:t>
            </w:r>
          </w:p>
        </w:tc>
      </w:tr>
      <w:tr w:rsidR="00ED3ECE" w14:paraId="64555672"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6455566C" w14:textId="77777777" w:rsidR="00ED3ECE" w:rsidRDefault="009C0C8B">
            <w:pPr>
              <w:spacing w:before="20" w:after="20"/>
              <w:jc w:val="center"/>
            </w:pPr>
            <w:r>
              <w:rPr>
                <w:b/>
                <w:bCs/>
                <w:color w:val="1A1A1A"/>
                <w:sz w:val="17"/>
                <w:szCs w:val="17"/>
              </w:rPr>
              <w:lastRenderedPageBreak/>
              <w:t>23</w:t>
            </w:r>
          </w:p>
        </w:tc>
        <w:tc>
          <w:tcPr>
            <w:tcW w:w="12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6455566D" w14:textId="77777777" w:rsidR="00ED3ECE" w:rsidRDefault="009C0C8B">
            <w:pPr>
              <w:spacing w:before="20" w:after="20"/>
            </w:pPr>
            <w:r>
              <w:rPr>
                <w:b/>
                <w:bCs/>
                <w:color w:val="ED7D31"/>
                <w:sz w:val="17"/>
                <w:szCs w:val="17"/>
              </w:rPr>
              <w:t>Action</w:t>
            </w:r>
          </w:p>
        </w:tc>
        <w:tc>
          <w:tcPr>
            <w:tcW w:w="5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6455566E" w14:textId="77777777" w:rsidR="00ED3ECE" w:rsidRDefault="009C0C8B">
            <w:pPr>
              <w:spacing w:before="20" w:after="20"/>
              <w:jc w:val="center"/>
            </w:pPr>
            <w:r>
              <w:rPr>
                <w:b/>
                <w:bCs/>
                <w:color w:val="1A1A1A"/>
                <w:sz w:val="19"/>
                <w:szCs w:val="19"/>
              </w:rPr>
              <w:t>2</w:t>
            </w:r>
          </w:p>
        </w:tc>
        <w:tc>
          <w:tcPr>
            <w:tcW w:w="12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6455566F" w14:textId="77777777" w:rsidR="00ED3ECE" w:rsidRDefault="009C0C8B">
            <w:pPr>
              <w:spacing w:before="20" w:after="20"/>
            </w:pPr>
            <w:r>
              <w:rPr>
                <w:i/>
                <w:iCs/>
                <w:color w:val="1A1A1A"/>
                <w:sz w:val="17"/>
                <w:szCs w:val="17"/>
              </w:rPr>
              <w:t>Basic Action</w:t>
            </w:r>
          </w:p>
        </w:tc>
        <w:tc>
          <w:tcPr>
            <w:tcW w:w="38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64555670" w14:textId="77777777" w:rsidR="00ED3ECE" w:rsidRDefault="009C0C8B">
            <w:pPr>
              <w:spacing w:before="20" w:after="20"/>
            </w:pPr>
            <w:r>
              <w:rPr>
                <w:color w:val="1A1A1A"/>
                <w:sz w:val="18"/>
                <w:szCs w:val="18"/>
              </w:rPr>
              <w:t>OR across sources: Q9.2 and Q9.4 are both started (overall figure AND at least some location-level entries) but Q9.4 covers only a small number of locations with no methodology context; OR Q9.5a describes a specific action taken (e.g., engaged with local trade union) without detailing scope or outcomes; OR Q9.5b provides a preventative measure example without specifics. Two Action sources have partial evidence.</w:t>
            </w:r>
          </w:p>
        </w:tc>
        <w:tc>
          <w:tcPr>
            <w:tcW w:w="278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64555671" w14:textId="77777777" w:rsidR="00ED3ECE" w:rsidRDefault="009C0C8B">
            <w:pPr>
              <w:spacing w:before="20" w:after="20"/>
            </w:pPr>
            <w:r>
              <w:rPr>
                <w:i/>
                <w:iCs/>
                <w:color w:val="1A1A1A"/>
                <w:sz w:val="17"/>
                <w:szCs w:val="17"/>
              </w:rPr>
              <w:t>Expand Q9.4 to cover all significant operating locations. In Q9.5a: name the specific action and describe its scope and the outcome. In Q9.1a G2 (if Q9.1 = Yes): describe how consultation outcomes are incorporated into practical changes and distributed throughout the company.</w:t>
            </w:r>
          </w:p>
        </w:tc>
      </w:tr>
      <w:tr w:rsidR="00ED3ECE" w14:paraId="64555679"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64555673" w14:textId="77777777" w:rsidR="00ED3ECE" w:rsidRDefault="009C0C8B">
            <w:pPr>
              <w:spacing w:before="20" w:after="20"/>
              <w:jc w:val="center"/>
            </w:pPr>
            <w:r>
              <w:rPr>
                <w:b/>
                <w:bCs/>
                <w:color w:val="1A1A1A"/>
                <w:sz w:val="17"/>
                <w:szCs w:val="17"/>
              </w:rPr>
              <w:t>23</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64555674" w14:textId="77777777" w:rsidR="00ED3ECE" w:rsidRDefault="009C0C8B">
            <w:pPr>
              <w:spacing w:before="20" w:after="20"/>
            </w:pPr>
            <w:r>
              <w:rPr>
                <w:b/>
                <w:bCs/>
                <w:color w:val="ED7D31"/>
                <w:sz w:val="17"/>
                <w:szCs w:val="17"/>
              </w:rPr>
              <w:t>Action</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64555675" w14:textId="77777777" w:rsidR="00ED3ECE" w:rsidRDefault="009C0C8B">
            <w:pPr>
              <w:spacing w:before="20" w:after="20"/>
              <w:jc w:val="center"/>
            </w:pPr>
            <w:r>
              <w:rPr>
                <w:b/>
                <w:bCs/>
                <w:color w:val="1A1A1A"/>
                <w:sz w:val="19"/>
                <w:szCs w:val="19"/>
              </w:rPr>
              <w:t>3</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64555676" w14:textId="77777777" w:rsidR="00ED3ECE" w:rsidRDefault="009C0C8B">
            <w:pPr>
              <w:spacing w:before="20" w:after="20"/>
            </w:pPr>
            <w:r>
              <w:rPr>
                <w:i/>
                <w:iCs/>
                <w:color w:val="1A1A1A"/>
                <w:sz w:val="17"/>
                <w:szCs w:val="17"/>
              </w:rPr>
              <w:t>Adequate Action</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64555677" w14:textId="77777777" w:rsidR="00ED3ECE" w:rsidRDefault="009C0C8B">
            <w:pPr>
              <w:spacing w:before="20" w:after="20"/>
            </w:pPr>
            <w:r>
              <w:rPr>
                <w:color w:val="1A1A1A"/>
                <w:sz w:val="18"/>
                <w:szCs w:val="18"/>
              </w:rPr>
              <w:t>OR across sources, AND within Q9.2/Q9.4: Q9.2 provides the overall CBA coverage % AND Q9.4 covers multiple significant operating locations with location-level percentages. This combination is the primary Action threshold. Additionally, if applicable: Q9.5a provides a specific action taken to address identified risks; or Q9.5b provides a specific example of preventative measures. Strong Q9.2 + Q9.4 data alone can reach this level.</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64555678" w14:textId="77777777" w:rsidR="00ED3ECE" w:rsidRDefault="009C0C8B">
            <w:pPr>
              <w:spacing w:before="20" w:after="20"/>
            </w:pPr>
            <w:r>
              <w:rPr>
                <w:i/>
                <w:iCs/>
                <w:color w:val="1A1A1A"/>
                <w:sz w:val="17"/>
                <w:szCs w:val="17"/>
              </w:rPr>
              <w:t>Add Q9.1a G2 outcomes (if Q9.1 = Yes): describe how consultation outcomes are incorporated into practical changes and which locations the process applies to. Ensure Q9.5a/b examples are specific with named actions and outcomes. Score 5 requires AND across Q9.2 + Q9.4 + Q9.5a/b examples + Q9.1a G2 where applicable.</w:t>
            </w:r>
          </w:p>
        </w:tc>
      </w:tr>
      <w:tr w:rsidR="00ED3ECE" w14:paraId="64555680"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6455567A" w14:textId="77777777" w:rsidR="00ED3ECE" w:rsidRDefault="009C0C8B">
            <w:pPr>
              <w:spacing w:before="20" w:after="20"/>
              <w:jc w:val="center"/>
            </w:pPr>
            <w:r>
              <w:rPr>
                <w:b/>
                <w:bCs/>
                <w:color w:val="1A1A1A"/>
                <w:sz w:val="17"/>
                <w:szCs w:val="17"/>
              </w:rPr>
              <w:t>23</w:t>
            </w:r>
          </w:p>
        </w:tc>
        <w:tc>
          <w:tcPr>
            <w:tcW w:w="12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6455567B" w14:textId="77777777" w:rsidR="00ED3ECE" w:rsidRDefault="009C0C8B">
            <w:pPr>
              <w:spacing w:before="20" w:after="20"/>
            </w:pPr>
            <w:r>
              <w:rPr>
                <w:b/>
                <w:bCs/>
                <w:color w:val="ED7D31"/>
                <w:sz w:val="17"/>
                <w:szCs w:val="17"/>
              </w:rPr>
              <w:t>Action</w:t>
            </w:r>
          </w:p>
        </w:tc>
        <w:tc>
          <w:tcPr>
            <w:tcW w:w="5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6455567C" w14:textId="77777777" w:rsidR="00ED3ECE" w:rsidRDefault="009C0C8B">
            <w:pPr>
              <w:spacing w:before="20" w:after="20"/>
              <w:jc w:val="center"/>
            </w:pPr>
            <w:r>
              <w:rPr>
                <w:b/>
                <w:bCs/>
                <w:color w:val="1A1A1A"/>
                <w:sz w:val="19"/>
                <w:szCs w:val="19"/>
              </w:rPr>
              <w:t>5</w:t>
            </w:r>
          </w:p>
        </w:tc>
        <w:tc>
          <w:tcPr>
            <w:tcW w:w="12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6455567D" w14:textId="77777777" w:rsidR="00ED3ECE" w:rsidRDefault="009C0C8B">
            <w:pPr>
              <w:spacing w:before="20" w:after="20"/>
            </w:pPr>
            <w:r>
              <w:rPr>
                <w:i/>
                <w:iCs/>
                <w:color w:val="1A1A1A"/>
                <w:sz w:val="17"/>
                <w:szCs w:val="17"/>
              </w:rPr>
              <w:t>Leading Action</w:t>
            </w:r>
          </w:p>
        </w:tc>
        <w:tc>
          <w:tcPr>
            <w:tcW w:w="38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6455567E" w14:textId="77777777" w:rsidR="00ED3ECE" w:rsidRDefault="009C0C8B">
            <w:pPr>
              <w:spacing w:before="20" w:after="20"/>
            </w:pPr>
            <w:r>
              <w:rPr>
                <w:color w:val="1A1A1A"/>
                <w:sz w:val="18"/>
                <w:szCs w:val="18"/>
              </w:rPr>
              <w:t>AND across all sources: Q9.2 must provide the overall CBA coverage %. Q9.4 must cover the company’s significant operating locations with location-level CBA percentages (or a clear explanation where location-level data is unavailable). Q9.5a (if Q9.5 = Yes) must describe specific actions taken to address identified risks (naming the action type and scope). Q9.5b (if Q9.5 = No) must provide a specific example of preventative measures in practice (naming the measure and how it operates). If Q9.1 = Yes: Q9.1a G</w:t>
            </w:r>
            <w:r>
              <w:rPr>
                <w:color w:val="1A1A1A"/>
                <w:sz w:val="18"/>
                <w:szCs w:val="18"/>
              </w:rPr>
              <w:t>2 must describe how consultation outcomes are incorporated into practical outcomes, how they are distributed, and where the process applies.</w:t>
            </w:r>
          </w:p>
        </w:tc>
        <w:tc>
          <w:tcPr>
            <w:tcW w:w="278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6455567F" w14:textId="77777777" w:rsidR="00ED3ECE" w:rsidRDefault="009C0C8B">
            <w:pPr>
              <w:spacing w:before="20" w:after="20"/>
            </w:pPr>
            <w:r>
              <w:rPr>
                <w:i/>
                <w:iCs/>
                <w:color w:val="1A1A1A"/>
                <w:sz w:val="17"/>
                <w:szCs w:val="17"/>
              </w:rPr>
              <w:t>Highest level achieved. Maintain complete CBA coverage data and action/prevention examples annually.</w:t>
            </w:r>
          </w:p>
        </w:tc>
      </w:tr>
    </w:tbl>
    <w:p w14:paraId="64555681" w14:textId="77777777" w:rsidR="00ED3ECE" w:rsidRDefault="00ED3ECE">
      <w:pPr>
        <w:pBdr>
          <w:bottom w:val="single" w:sz="4" w:space="1" w:color="D9D9D9"/>
        </w:pBdr>
        <w:spacing w:before="240" w:after="240"/>
      </w:pPr>
    </w:p>
    <w:p w14:paraId="64555682" w14:textId="77777777" w:rsidR="00ED3ECE" w:rsidRDefault="009C0C8B">
      <w:pPr>
        <w:pStyle w:val="Heading1"/>
        <w:spacing w:before="360" w:after="160"/>
      </w:pPr>
      <w:r>
        <w:rPr>
          <w:b/>
          <w:bCs/>
          <w:color w:val="1F3864"/>
          <w:sz w:val="34"/>
          <w:szCs w:val="34"/>
        </w:rPr>
        <w:t>4. Score Calculation</w:t>
      </w:r>
    </w:p>
    <w:p w14:paraId="64555683" w14:textId="77777777" w:rsidR="00ED3ECE" w:rsidRDefault="009C0C8B">
      <w:pPr>
        <w:spacing w:before="80" w:after="80"/>
      </w:pPr>
      <w:r>
        <w:rPr>
          <w:color w:val="1A1A1A"/>
        </w:rPr>
        <w:t>Once Awareness, Approach, and Action sub-scores are assigned, the composite topic score is calculated using equal weighting across the three dimensions.</w:t>
      </w:r>
    </w:p>
    <w:p w14:paraId="64555684" w14:textId="77777777" w:rsidR="00ED3ECE" w:rsidRDefault="009C0C8B">
      <w:pPr>
        <w:pStyle w:val="Heading2"/>
        <w:spacing w:before="280" w:after="120"/>
      </w:pPr>
      <w:r>
        <w:rPr>
          <w:b/>
          <w:bCs/>
          <w:color w:val="2E75B6"/>
        </w:rPr>
        <w:lastRenderedPageBreak/>
        <w:t>4.1  Formulas</w:t>
      </w:r>
    </w:p>
    <w:p w14:paraId="64555685" w14:textId="77777777" w:rsidR="00ED3ECE" w:rsidRDefault="009C0C8B">
      <w:pPr>
        <w:pBdr>
          <w:top w:val="single" w:sz="4" w:space="4" w:color="2E75B6"/>
          <w:left w:val="single" w:sz="4" w:space="8" w:color="2E75B6"/>
          <w:bottom w:val="single" w:sz="4" w:space="4" w:color="2E75B6"/>
          <w:right w:val="single" w:sz="4" w:space="8" w:color="2E75B6"/>
        </w:pBdr>
        <w:shd w:val="clear" w:color="auto" w:fill="DEEAF1"/>
        <w:spacing w:before="120" w:after="120"/>
        <w:jc w:val="center"/>
      </w:pPr>
      <w:r>
        <w:rPr>
          <w:rFonts w:ascii="Courier New" w:eastAsia="Courier New" w:hAnsi="Courier New" w:cs="Courier New"/>
          <w:b/>
          <w:bCs/>
          <w:color w:val="1F3864"/>
        </w:rPr>
        <w:t>Composite (0–5)   =   (Awareness  +  Approach  +  Action)  ÷  3</w:t>
      </w:r>
    </w:p>
    <w:p w14:paraId="64555686" w14:textId="77777777" w:rsidR="00ED3ECE" w:rsidRDefault="009C0C8B">
      <w:pPr>
        <w:pBdr>
          <w:top w:val="single" w:sz="4" w:space="4" w:color="2E75B6"/>
          <w:left w:val="single" w:sz="4" w:space="8" w:color="2E75B6"/>
          <w:bottom w:val="single" w:sz="4" w:space="4" w:color="2E75B6"/>
          <w:right w:val="single" w:sz="4" w:space="8" w:color="2E75B6"/>
        </w:pBdr>
        <w:shd w:val="clear" w:color="auto" w:fill="DEEAF1"/>
        <w:spacing w:before="120" w:after="120"/>
        <w:jc w:val="center"/>
      </w:pPr>
      <w:r>
        <w:rPr>
          <w:rFonts w:ascii="Courier New" w:eastAsia="Courier New" w:hAnsi="Courier New" w:cs="Courier New"/>
          <w:b/>
          <w:bCs/>
          <w:color w:val="1F3864"/>
        </w:rPr>
        <w:t>Topic Score (0–100)   =   Composite (0–5)  ×  20</w:t>
      </w:r>
    </w:p>
    <w:p w14:paraId="64555687" w14:textId="77777777" w:rsidR="00ED3ECE" w:rsidRDefault="009C0C8B">
      <w:pPr>
        <w:spacing w:before="80" w:after="60"/>
      </w:pPr>
      <w:r>
        <w:rPr>
          <w:i/>
          <w:iCs/>
          <w:color w:val="666666"/>
          <w:sz w:val="17"/>
          <w:szCs w:val="17"/>
        </w:rPr>
        <w:t>All reported topic scores are on the 0–100 scale. Each dimension carries equal weight (33.3%). The Not Yet cap applies only to Q9.1b. Q9.5 uses Yes/No — no Not Yet cap. Always-applicable Q9.2 and Q9.4 mean Action is not zero for Not Yet companies on the Q9.1 gate.</w:t>
      </w:r>
    </w:p>
    <w:p w14:paraId="64555688" w14:textId="77777777" w:rsidR="00ED3ECE" w:rsidRDefault="009C0C8B">
      <w:pPr>
        <w:pStyle w:val="Heading2"/>
        <w:spacing w:before="280" w:after="120"/>
      </w:pPr>
      <w:r>
        <w:rPr>
          <w:b/>
          <w:bCs/>
          <w:color w:val="2E75B6"/>
        </w:rPr>
        <w:t>4.2  Worked Examples</w:t>
      </w:r>
    </w:p>
    <w:p w14:paraId="64555689" w14:textId="77777777" w:rsidR="00ED3ECE" w:rsidRDefault="009C0C8B">
      <w:pPr>
        <w:spacing w:before="80" w:after="80"/>
      </w:pPr>
      <w:r>
        <w:rPr>
          <w:b/>
          <w:bCs/>
          <w:color w:val="2E75B6"/>
        </w:rPr>
        <w:t>Example A: Comprehensive FoA governance with full CBA data</w:t>
      </w:r>
    </w:p>
    <w:p w14:paraId="6455568A" w14:textId="77777777" w:rsidR="00ED3ECE" w:rsidRDefault="009C0C8B">
      <w:pPr>
        <w:spacing w:before="80" w:after="80"/>
      </w:pPr>
      <w:r>
        <w:rPr>
          <w:color w:val="1A1A1A"/>
          <w:sz w:val="19"/>
          <w:szCs w:val="19"/>
        </w:rPr>
        <w:t>Q9.1: Yes. Q9.1a: Row 1 — Workers; description: “Monthly all-hands briefings on collective bargaining rights. Workers can submit anonymous questions through our ‘Speak Up’ digital platform. Output reviewed by HR and reported to Works Council.” Frequency: Monthly. Row 2 — Trade Unions; description: “Quarterly joint negotiation meetings with our recognised trade union (Unite). Meetings cover working conditions, pay reviews, and FoA policy updates. Union reps are given paid time off to attend all scheduled mee</w:t>
      </w:r>
      <w:r>
        <w:rPr>
          <w:color w:val="1A1A1A"/>
          <w:sz w:val="19"/>
          <w:szCs w:val="19"/>
        </w:rPr>
        <w:t>tings.” Frequency: Quarterly. G2 outcome: “Outcomes from Q4 2024 joint meetings led to a 4% pay uplift for warehouse workers, effective Jan 2025. All meeting outcomes are distributed to site managers and posted on the intranet within 5 working days. Applies to all 7 UK operating locations.”</w:t>
      </w:r>
    </w:p>
    <w:p w14:paraId="6455568B" w14:textId="77777777" w:rsidR="00ED3ECE" w:rsidRDefault="009C0C8B">
      <w:pPr>
        <w:spacing w:before="80" w:after="80"/>
      </w:pPr>
      <w:r>
        <w:rPr>
          <w:color w:val="1A1A1A"/>
          <w:sz w:val="19"/>
          <w:szCs w:val="19"/>
        </w:rPr>
        <w:t>Q9.2: 68% of direct operations employees covered by CBAs. Q9.3: All significant operating locations. Q9.4: London HQ 0%, Manchester 82%, Birmingham 79%, Glasgow 74%, Leeds 71%, Bristol 68%, Liverpool 63% (7 locations provided). Q9.5: No (no specific risks identified). Q9.5b: “We assess FoA and CB risks annually as part of our HRDD process. In 2024, we distributed a rights-awareness leaflet to all 4,200 direct operations workers (available in 4 languages) and held site-level FoA information sessions. Our ann</w:t>
      </w:r>
      <w:r>
        <w:rPr>
          <w:color w:val="1A1A1A"/>
          <w:sz w:val="19"/>
          <w:szCs w:val="19"/>
        </w:rPr>
        <w:t>ual risk assessment found no specific restrictions. Regularity: annual, with quarterly union check-ins. Effectiveness: assessed through our grievance system — zero FoA-related grievances in 2024.” Q9.6: Contractors row: CB rights included in labour supply agreements; contractors required to allow collective bargaining for their workers as a contract condition; ILO Core Labour Standards referenced. G2: Quarterly monitoring via supplier scorecard; third parties must cascade rights to sub-suppliers.</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016"/>
        <w:gridCol w:w="5040"/>
        <w:gridCol w:w="3024"/>
      </w:tblGrid>
      <w:tr w:rsidR="00ED3ECE" w14:paraId="6455568F" w14:textId="77777777">
        <w:tblPrEx>
          <w:tblCellMar>
            <w:top w:w="0" w:type="dxa"/>
            <w:bottom w:w="0" w:type="dxa"/>
          </w:tblCellMar>
        </w:tblPrEx>
        <w:trPr>
          <w:tblHeader/>
        </w:trPr>
        <w:tc>
          <w:tcPr>
            <w:tcW w:w="2016"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6455568C" w14:textId="77777777" w:rsidR="00ED3ECE" w:rsidRDefault="009C0C8B">
            <w:pPr>
              <w:jc w:val="center"/>
            </w:pPr>
            <w:r>
              <w:rPr>
                <w:b/>
                <w:bCs/>
                <w:color w:val="FFFFFF"/>
                <w:sz w:val="16"/>
                <w:szCs w:val="16"/>
              </w:rPr>
              <w:t>Dimension</w:t>
            </w:r>
          </w:p>
        </w:tc>
        <w:tc>
          <w:tcPr>
            <w:tcW w:w="504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6455568D" w14:textId="77777777" w:rsidR="00ED3ECE" w:rsidRDefault="009C0C8B">
            <w:pPr>
              <w:jc w:val="center"/>
            </w:pPr>
            <w:r>
              <w:rPr>
                <w:b/>
                <w:bCs/>
                <w:color w:val="FFFFFF"/>
                <w:sz w:val="16"/>
                <w:szCs w:val="16"/>
              </w:rPr>
              <w:t>Score &amp; Rationale</w:t>
            </w:r>
          </w:p>
        </w:tc>
        <w:tc>
          <w:tcPr>
            <w:tcW w:w="3024"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6455568E" w14:textId="77777777" w:rsidR="00ED3ECE" w:rsidRDefault="009C0C8B">
            <w:pPr>
              <w:jc w:val="center"/>
            </w:pPr>
            <w:r>
              <w:rPr>
                <w:b/>
                <w:bCs/>
                <w:color w:val="FFFFFF"/>
                <w:sz w:val="16"/>
                <w:szCs w:val="16"/>
              </w:rPr>
              <w:t>Calculation</w:t>
            </w:r>
          </w:p>
        </w:tc>
      </w:tr>
      <w:tr w:rsidR="00ED3ECE" w14:paraId="64555693"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64555690" w14:textId="77777777" w:rsidR="00ED3ECE" w:rsidRDefault="009C0C8B">
            <w:pPr>
              <w:spacing w:before="20" w:after="20"/>
            </w:pPr>
            <w:r>
              <w:rPr>
                <w:b/>
                <w:bCs/>
                <w:color w:val="2E75B6"/>
                <w:sz w:val="19"/>
                <w:szCs w:val="19"/>
              </w:rPr>
              <w:t>Awareness</w:t>
            </w:r>
          </w:p>
        </w:tc>
        <w:tc>
          <w:tcPr>
            <w:tcW w:w="504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64555691" w14:textId="77777777" w:rsidR="00ED3ECE" w:rsidRDefault="009C0C8B">
            <w:pPr>
              <w:spacing w:before="20" w:after="20"/>
            </w:pPr>
            <w:r>
              <w:rPr>
                <w:color w:val="1A1A1A"/>
                <w:sz w:val="18"/>
                <w:szCs w:val="18"/>
              </w:rPr>
              <w:t>5 (Leading) — AND satisfied: Q9.1 = Yes, Q9.3 = All significant operating locations, Q9.5 = No (answered). Q9.5 = No with Q9.5b not requiring named instances. All AND conditions met.</w:t>
            </w:r>
          </w:p>
        </w:tc>
        <w:tc>
          <w:tcPr>
            <w:tcW w:w="3024"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64555692" w14:textId="77777777" w:rsidR="00ED3ECE" w:rsidRDefault="00ED3ECE">
            <w:pPr>
              <w:spacing w:before="20" w:after="20"/>
            </w:pPr>
          </w:p>
        </w:tc>
      </w:tr>
      <w:tr w:rsidR="00ED3ECE" w14:paraId="64555697"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64555694" w14:textId="77777777" w:rsidR="00ED3ECE" w:rsidRDefault="009C0C8B">
            <w:pPr>
              <w:spacing w:before="20" w:after="20"/>
            </w:pPr>
            <w:r>
              <w:rPr>
                <w:b/>
                <w:bCs/>
                <w:color w:val="70AD47"/>
                <w:sz w:val="19"/>
                <w:szCs w:val="19"/>
              </w:rPr>
              <w:t>Approach</w:t>
            </w:r>
          </w:p>
        </w:tc>
        <w:tc>
          <w:tcPr>
            <w:tcW w:w="504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64555695" w14:textId="77777777" w:rsidR="00ED3ECE" w:rsidRDefault="009C0C8B">
            <w:pPr>
              <w:spacing w:before="20" w:after="20"/>
            </w:pPr>
            <w:r>
              <w:rPr>
                <w:color w:val="1A1A1A"/>
                <w:sz w:val="18"/>
                <w:szCs w:val="18"/>
              </w:rPr>
              <w:t>5 (Leading) — AND satisfied: Q9.1a covers Workers and Trade Unions with all three G1 elements (format, participants, frequency). Q9.5b describes prevention process with scope, regularity, AND G2 (effectiveness via grievance system). Q9.6 addresses contractual CB inclusion, ILO standards, AND G2 third-party cascade + quarterly monitoring.</w:t>
            </w:r>
          </w:p>
        </w:tc>
        <w:tc>
          <w:tcPr>
            <w:tcW w:w="3024"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64555696" w14:textId="77777777" w:rsidR="00ED3ECE" w:rsidRDefault="00ED3ECE">
            <w:pPr>
              <w:spacing w:before="20" w:after="20"/>
            </w:pPr>
          </w:p>
        </w:tc>
      </w:tr>
      <w:tr w:rsidR="00ED3ECE" w14:paraId="6455569B"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64555698" w14:textId="77777777" w:rsidR="00ED3ECE" w:rsidRDefault="009C0C8B">
            <w:pPr>
              <w:spacing w:before="20" w:after="20"/>
            </w:pPr>
            <w:r>
              <w:rPr>
                <w:b/>
                <w:bCs/>
                <w:color w:val="ED7D31"/>
                <w:sz w:val="19"/>
                <w:szCs w:val="19"/>
              </w:rPr>
              <w:t>Action</w:t>
            </w:r>
          </w:p>
        </w:tc>
        <w:tc>
          <w:tcPr>
            <w:tcW w:w="504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64555699" w14:textId="77777777" w:rsidR="00ED3ECE" w:rsidRDefault="009C0C8B">
            <w:pPr>
              <w:spacing w:before="20" w:after="20"/>
            </w:pPr>
            <w:r>
              <w:rPr>
                <w:color w:val="1A1A1A"/>
                <w:sz w:val="18"/>
                <w:szCs w:val="18"/>
              </w:rPr>
              <w:t>5 (Leading) — AND satisfied: Q9.2 provides overall 68%. Q9.4 covers 7 locations. Q9.5b provides a specific preventative example (rights-awareness leaflet, 4,200 workers, 4 languages, named outcome). Q9.1a G2 describes practical outcome (4% pay uplift), distribution mechanism (intranet within 5 days), and location scope (all 7 UK locations).</w:t>
            </w:r>
          </w:p>
        </w:tc>
        <w:tc>
          <w:tcPr>
            <w:tcW w:w="3024"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6455569A" w14:textId="77777777" w:rsidR="00ED3ECE" w:rsidRDefault="00ED3ECE">
            <w:pPr>
              <w:spacing w:before="20" w:after="20"/>
            </w:pPr>
          </w:p>
        </w:tc>
      </w:tr>
      <w:tr w:rsidR="00ED3ECE" w14:paraId="6455569F"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6455569C" w14:textId="77777777" w:rsidR="00ED3ECE" w:rsidRDefault="009C0C8B">
            <w:pPr>
              <w:spacing w:before="20" w:after="20"/>
            </w:pPr>
            <w:r>
              <w:rPr>
                <w:b/>
                <w:bCs/>
                <w:color w:val="1A1A1A"/>
                <w:sz w:val="19"/>
                <w:szCs w:val="19"/>
              </w:rPr>
              <w:t>Composite</w:t>
            </w:r>
          </w:p>
        </w:tc>
        <w:tc>
          <w:tcPr>
            <w:tcW w:w="5040"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6455569D" w14:textId="77777777" w:rsidR="00ED3ECE" w:rsidRDefault="009C0C8B">
            <w:pPr>
              <w:spacing w:before="20" w:after="20"/>
            </w:pPr>
            <w:r>
              <w:rPr>
                <w:b/>
                <w:bCs/>
                <w:color w:val="1A1A1A"/>
                <w:sz w:val="19"/>
                <w:szCs w:val="19"/>
              </w:rPr>
              <w:t>(5 + 5 + 5) ÷ 3 = 5.00</w:t>
            </w:r>
          </w:p>
        </w:tc>
        <w:tc>
          <w:tcPr>
            <w:tcW w:w="3024"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6455569E" w14:textId="77777777" w:rsidR="00ED3ECE" w:rsidRDefault="009C0C8B">
            <w:pPr>
              <w:spacing w:before="20" w:after="20"/>
            </w:pPr>
            <w:r>
              <w:rPr>
                <w:b/>
                <w:bCs/>
                <w:color w:val="1A1A1A"/>
                <w:sz w:val="19"/>
                <w:szCs w:val="19"/>
              </w:rPr>
              <w:t>Topic Score = 5.00 × 20 = 100 / 100</w:t>
            </w:r>
          </w:p>
        </w:tc>
      </w:tr>
    </w:tbl>
    <w:p w14:paraId="645556A0" w14:textId="77777777" w:rsidR="00ED3ECE" w:rsidRDefault="009C0C8B">
      <w:pPr>
        <w:spacing w:before="80" w:after="60"/>
      </w:pPr>
      <w:r>
        <w:rPr>
          <w:i/>
          <w:iCs/>
          <w:color w:val="666666"/>
          <w:sz w:val="17"/>
          <w:szCs w:val="17"/>
        </w:rPr>
        <w:t>Full marks. Q9.5 = No does not penalise the company. The preventative measures in Q9.5b (systematic HRDD, rights awareness programme, annual assessment with quarterly check-ins) demonstrate active risk management.</w:t>
      </w:r>
    </w:p>
    <w:p w14:paraId="645556A1" w14:textId="77777777" w:rsidR="00ED3ECE" w:rsidRDefault="009C0C8B">
      <w:pPr>
        <w:spacing w:before="240" w:after="80"/>
      </w:pPr>
      <w:r>
        <w:rPr>
          <w:b/>
          <w:bCs/>
          <w:color w:val="2E75B6"/>
        </w:rPr>
        <w:t>Example B: Not Yet on consultation, partial CBA data</w:t>
      </w:r>
    </w:p>
    <w:p w14:paraId="645556A2" w14:textId="77777777" w:rsidR="00ED3ECE" w:rsidRDefault="009C0C8B">
      <w:pPr>
        <w:spacing w:before="80" w:after="80"/>
      </w:pPr>
      <w:r>
        <w:rPr>
          <w:color w:val="1A1A1A"/>
          <w:sz w:val="19"/>
          <w:szCs w:val="19"/>
        </w:rPr>
        <w:t xml:space="preserve">Q9.1: Not Yet. Q9.1b: “We plan to establish formal consultation with worker representatives by end of 2026.” Q9.2: 34%. Q9.3: Domestic operations/HQ only. Q9.4: blank. Q9.5: Yes. Q9.5a: “We identified that workers in our Vietnam </w:t>
      </w:r>
      <w:r>
        <w:rPr>
          <w:color w:val="1A1A1A"/>
          <w:sz w:val="19"/>
          <w:szCs w:val="19"/>
        </w:rPr>
        <w:lastRenderedPageBreak/>
        <w:t>subsidiary face restrictions on forming independent trade unions under local law. We engaged a local labour rights NGO to conduct worker interviews (2024) and are in dialogue with local government.” Q9.6: blank.</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016"/>
        <w:gridCol w:w="5040"/>
        <w:gridCol w:w="3024"/>
      </w:tblGrid>
      <w:tr w:rsidR="00ED3ECE" w14:paraId="645556A6" w14:textId="77777777">
        <w:tblPrEx>
          <w:tblCellMar>
            <w:top w:w="0" w:type="dxa"/>
            <w:bottom w:w="0" w:type="dxa"/>
          </w:tblCellMar>
        </w:tblPrEx>
        <w:trPr>
          <w:tblHeader/>
        </w:trPr>
        <w:tc>
          <w:tcPr>
            <w:tcW w:w="2016"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645556A3" w14:textId="77777777" w:rsidR="00ED3ECE" w:rsidRDefault="009C0C8B">
            <w:pPr>
              <w:jc w:val="center"/>
            </w:pPr>
            <w:r>
              <w:rPr>
                <w:b/>
                <w:bCs/>
                <w:color w:val="FFFFFF"/>
                <w:sz w:val="16"/>
                <w:szCs w:val="16"/>
              </w:rPr>
              <w:t>Dimension</w:t>
            </w:r>
          </w:p>
        </w:tc>
        <w:tc>
          <w:tcPr>
            <w:tcW w:w="504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645556A4" w14:textId="77777777" w:rsidR="00ED3ECE" w:rsidRDefault="009C0C8B">
            <w:pPr>
              <w:jc w:val="center"/>
            </w:pPr>
            <w:r>
              <w:rPr>
                <w:b/>
                <w:bCs/>
                <w:color w:val="FFFFFF"/>
                <w:sz w:val="16"/>
                <w:szCs w:val="16"/>
              </w:rPr>
              <w:t>Score &amp; Rationale</w:t>
            </w:r>
          </w:p>
        </w:tc>
        <w:tc>
          <w:tcPr>
            <w:tcW w:w="3024"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645556A5" w14:textId="77777777" w:rsidR="00ED3ECE" w:rsidRDefault="009C0C8B">
            <w:pPr>
              <w:jc w:val="center"/>
            </w:pPr>
            <w:r>
              <w:rPr>
                <w:b/>
                <w:bCs/>
                <w:color w:val="FFFFFF"/>
                <w:sz w:val="16"/>
                <w:szCs w:val="16"/>
              </w:rPr>
              <w:t>Calculation</w:t>
            </w:r>
          </w:p>
        </w:tc>
      </w:tr>
      <w:tr w:rsidR="00ED3ECE" w14:paraId="645556AA"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645556A7" w14:textId="77777777" w:rsidR="00ED3ECE" w:rsidRDefault="009C0C8B">
            <w:pPr>
              <w:spacing w:before="20" w:after="20"/>
            </w:pPr>
            <w:r>
              <w:rPr>
                <w:b/>
                <w:bCs/>
                <w:color w:val="2E75B6"/>
                <w:sz w:val="19"/>
                <w:szCs w:val="19"/>
              </w:rPr>
              <w:t>Awareness</w:t>
            </w:r>
          </w:p>
        </w:tc>
        <w:tc>
          <w:tcPr>
            <w:tcW w:w="504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645556A8" w14:textId="77777777" w:rsidR="00ED3ECE" w:rsidRDefault="009C0C8B">
            <w:pPr>
              <w:spacing w:before="20" w:after="20"/>
            </w:pPr>
            <w:r>
              <w:rPr>
                <w:color w:val="1A1A1A"/>
                <w:sz w:val="18"/>
                <w:szCs w:val="18"/>
              </w:rPr>
              <w:t>3 (Adequate) — Q9.1 = Not Yet AND Q9.1b has a specific timeline (end 2026), lifting Q9.1 sub-area from 1 to 3 (capped). Q9.3 is completed (domestic only). Q9.5 = Yes AND Q9.5a names a specific risk instance (Vietnam subsidiary, local law restrictions). AND for score 5 fails: Q9.1 ≠ Yes.</w:t>
            </w:r>
          </w:p>
        </w:tc>
        <w:tc>
          <w:tcPr>
            <w:tcW w:w="3024"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645556A9" w14:textId="77777777" w:rsidR="00ED3ECE" w:rsidRDefault="00ED3ECE">
            <w:pPr>
              <w:spacing w:before="20" w:after="20"/>
            </w:pPr>
          </w:p>
        </w:tc>
      </w:tr>
      <w:tr w:rsidR="00ED3ECE" w14:paraId="645556AE"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645556AB" w14:textId="77777777" w:rsidR="00ED3ECE" w:rsidRDefault="009C0C8B">
            <w:pPr>
              <w:spacing w:before="20" w:after="20"/>
            </w:pPr>
            <w:r>
              <w:rPr>
                <w:b/>
                <w:bCs/>
                <w:color w:val="70AD47"/>
                <w:sz w:val="19"/>
                <w:szCs w:val="19"/>
              </w:rPr>
              <w:t>Approach</w:t>
            </w:r>
          </w:p>
        </w:tc>
        <w:tc>
          <w:tcPr>
            <w:tcW w:w="504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645556AC" w14:textId="77777777" w:rsidR="00ED3ECE" w:rsidRDefault="009C0C8B">
            <w:pPr>
              <w:spacing w:before="20" w:after="20"/>
            </w:pPr>
            <w:r>
              <w:rPr>
                <w:color w:val="1A1A1A"/>
                <w:sz w:val="18"/>
                <w:szCs w:val="18"/>
              </w:rPr>
              <w:t>1 (Minimal) — Q9.5a mentions NGO engagement and government dialogue but without describing the risk identification process or effectiveness monitoring. Q9.6 is blank — no non-employee CB governance. Q9.1b mentions a plan without alternative measures. OR: minimal Approach signals across sources.</w:t>
            </w:r>
          </w:p>
        </w:tc>
        <w:tc>
          <w:tcPr>
            <w:tcW w:w="3024"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645556AD" w14:textId="77777777" w:rsidR="00ED3ECE" w:rsidRDefault="00ED3ECE">
            <w:pPr>
              <w:spacing w:before="20" w:after="20"/>
            </w:pPr>
          </w:p>
        </w:tc>
      </w:tr>
      <w:tr w:rsidR="00ED3ECE" w14:paraId="645556B2"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645556AF" w14:textId="77777777" w:rsidR="00ED3ECE" w:rsidRDefault="009C0C8B">
            <w:pPr>
              <w:spacing w:before="20" w:after="20"/>
            </w:pPr>
            <w:r>
              <w:rPr>
                <w:b/>
                <w:bCs/>
                <w:color w:val="ED7D31"/>
                <w:sz w:val="19"/>
                <w:szCs w:val="19"/>
              </w:rPr>
              <w:t>Action</w:t>
            </w:r>
          </w:p>
        </w:tc>
        <w:tc>
          <w:tcPr>
            <w:tcW w:w="504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645556B0" w14:textId="77777777" w:rsidR="00ED3ECE" w:rsidRDefault="009C0C8B">
            <w:pPr>
              <w:spacing w:before="20" w:after="20"/>
            </w:pPr>
            <w:r>
              <w:rPr>
                <w:color w:val="1A1A1A"/>
                <w:sz w:val="18"/>
                <w:szCs w:val="18"/>
              </w:rPr>
              <w:t>2 (Basic) — Q9.2 provides 34% (some CBA data). Q9.3 = domestic only (limited scope). Q9.4 is blank. Q9.5a provides a named action (NGO interviews, government dialogue) but no scope or outcome described. OR: two Action sources have partial evidence.</w:t>
            </w:r>
          </w:p>
        </w:tc>
        <w:tc>
          <w:tcPr>
            <w:tcW w:w="3024"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645556B1" w14:textId="77777777" w:rsidR="00ED3ECE" w:rsidRDefault="00ED3ECE">
            <w:pPr>
              <w:spacing w:before="20" w:after="20"/>
            </w:pPr>
          </w:p>
        </w:tc>
      </w:tr>
      <w:tr w:rsidR="00ED3ECE" w14:paraId="645556B6"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645556B3" w14:textId="77777777" w:rsidR="00ED3ECE" w:rsidRDefault="009C0C8B">
            <w:pPr>
              <w:spacing w:before="20" w:after="20"/>
            </w:pPr>
            <w:r>
              <w:rPr>
                <w:b/>
                <w:bCs/>
                <w:color w:val="1A1A1A"/>
                <w:sz w:val="19"/>
                <w:szCs w:val="19"/>
              </w:rPr>
              <w:t>Composite</w:t>
            </w:r>
          </w:p>
        </w:tc>
        <w:tc>
          <w:tcPr>
            <w:tcW w:w="5040"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645556B4" w14:textId="77777777" w:rsidR="00ED3ECE" w:rsidRDefault="009C0C8B">
            <w:pPr>
              <w:spacing w:before="20" w:after="20"/>
            </w:pPr>
            <w:r>
              <w:rPr>
                <w:b/>
                <w:bCs/>
                <w:color w:val="1A1A1A"/>
                <w:sz w:val="19"/>
                <w:szCs w:val="19"/>
              </w:rPr>
              <w:t>(3 + 1 + 2) ÷ 3 = 2.00</w:t>
            </w:r>
          </w:p>
        </w:tc>
        <w:tc>
          <w:tcPr>
            <w:tcW w:w="3024"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645556B5" w14:textId="77777777" w:rsidR="00ED3ECE" w:rsidRDefault="009C0C8B">
            <w:pPr>
              <w:spacing w:before="20" w:after="20"/>
            </w:pPr>
            <w:r>
              <w:rPr>
                <w:b/>
                <w:bCs/>
                <w:color w:val="1A1A1A"/>
                <w:sz w:val="19"/>
                <w:szCs w:val="19"/>
              </w:rPr>
              <w:t>Topic Score = 2.00 × 20 = 40 / 100</w:t>
            </w:r>
          </w:p>
        </w:tc>
      </w:tr>
    </w:tbl>
    <w:p w14:paraId="645556B7" w14:textId="77777777" w:rsidR="00ED3ECE" w:rsidRDefault="009C0C8B">
      <w:pPr>
        <w:spacing w:before="80" w:after="60"/>
      </w:pPr>
      <w:r>
        <w:rPr>
          <w:i/>
          <w:iCs/>
          <w:color w:val="666666"/>
          <w:sz w:val="17"/>
          <w:szCs w:val="17"/>
        </w:rPr>
        <w:t>40/100. Key next steps: (1) implement consultation and select Yes at Q9.1; (2) complete Q9.6 with non-employee CB rights; (3) complete Q9.4 with location-level CBA coverage; (4) strengthen Q9.5a with the risk identification process and how effectiveness is monitored.</w:t>
      </w:r>
    </w:p>
    <w:sectPr w:rsidR="00ED3ECE">
      <w:headerReference w:type="even" r:id="rId10"/>
      <w:headerReference w:type="default" r:id="rId11"/>
      <w:footerReference w:type="even" r:id="rId12"/>
      <w:footerReference w:type="default" r:id="rId13"/>
      <w:headerReference w:type="first" r:id="rId14"/>
      <w:footerReference w:type="first" r:id="rId15"/>
      <w:pgSz w:w="12240" w:h="15840"/>
      <w:pgMar w:top="1080" w:right="1080" w:bottom="1080" w:left="108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9CF113" w14:textId="77777777" w:rsidR="009C0C8B" w:rsidRDefault="009C0C8B" w:rsidP="001823A0">
      <w:r>
        <w:separator/>
      </w:r>
    </w:p>
  </w:endnote>
  <w:endnote w:type="continuationSeparator" w:id="0">
    <w:p w14:paraId="056E5426" w14:textId="77777777" w:rsidR="009C0C8B" w:rsidRDefault="009C0C8B" w:rsidP="001823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D480E" w14:textId="77777777" w:rsidR="001823A0" w:rsidRDefault="001823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D38C5" w14:textId="77777777" w:rsidR="001823A0" w:rsidRDefault="001823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13F90" w14:textId="77777777" w:rsidR="001823A0" w:rsidRDefault="001823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A68947" w14:textId="77777777" w:rsidR="009C0C8B" w:rsidRDefault="009C0C8B" w:rsidP="001823A0">
      <w:r>
        <w:separator/>
      </w:r>
    </w:p>
  </w:footnote>
  <w:footnote w:type="continuationSeparator" w:id="0">
    <w:p w14:paraId="4497ED39" w14:textId="77777777" w:rsidR="009C0C8B" w:rsidRDefault="009C0C8B" w:rsidP="001823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36B30" w14:textId="77777777" w:rsidR="001823A0" w:rsidRDefault="001823A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9016768"/>
      <w:docPartObj>
        <w:docPartGallery w:val="Watermarks"/>
        <w:docPartUnique/>
      </w:docPartObj>
    </w:sdtPr>
    <w:sdtContent>
      <w:p w14:paraId="0AFDA0E9" w14:textId="7925BC3D" w:rsidR="001823A0" w:rsidRDefault="001823A0">
        <w:pPr>
          <w:pStyle w:val="Header"/>
        </w:pPr>
        <w:r>
          <w:rPr>
            <w:noProof/>
          </w:rPr>
          <w:pict w14:anchorId="2BC7B1B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C41C0" w14:textId="77777777" w:rsidR="001823A0" w:rsidRDefault="001823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D0484C"/>
    <w:multiLevelType w:val="hybridMultilevel"/>
    <w:tmpl w:val="A5EA7D10"/>
    <w:lvl w:ilvl="0" w:tplc="405A2D90">
      <w:start w:val="1"/>
      <w:numFmt w:val="bullet"/>
      <w:lvlText w:val="●"/>
      <w:lvlJc w:val="left"/>
      <w:pPr>
        <w:ind w:left="720" w:hanging="360"/>
      </w:pPr>
    </w:lvl>
    <w:lvl w:ilvl="1" w:tplc="7D0EE130">
      <w:start w:val="1"/>
      <w:numFmt w:val="bullet"/>
      <w:lvlText w:val="○"/>
      <w:lvlJc w:val="left"/>
      <w:pPr>
        <w:ind w:left="1440" w:hanging="360"/>
      </w:pPr>
    </w:lvl>
    <w:lvl w:ilvl="2" w:tplc="A0D487EE">
      <w:start w:val="1"/>
      <w:numFmt w:val="bullet"/>
      <w:lvlText w:val="■"/>
      <w:lvlJc w:val="left"/>
      <w:pPr>
        <w:ind w:left="2160" w:hanging="360"/>
      </w:pPr>
    </w:lvl>
    <w:lvl w:ilvl="3" w:tplc="3C90B368">
      <w:start w:val="1"/>
      <w:numFmt w:val="bullet"/>
      <w:lvlText w:val="●"/>
      <w:lvlJc w:val="left"/>
      <w:pPr>
        <w:ind w:left="2880" w:hanging="360"/>
      </w:pPr>
    </w:lvl>
    <w:lvl w:ilvl="4" w:tplc="09D45016">
      <w:start w:val="1"/>
      <w:numFmt w:val="bullet"/>
      <w:lvlText w:val="○"/>
      <w:lvlJc w:val="left"/>
      <w:pPr>
        <w:ind w:left="3600" w:hanging="360"/>
      </w:pPr>
    </w:lvl>
    <w:lvl w:ilvl="5" w:tplc="DB3C4BAE">
      <w:start w:val="1"/>
      <w:numFmt w:val="bullet"/>
      <w:lvlText w:val="■"/>
      <w:lvlJc w:val="left"/>
      <w:pPr>
        <w:ind w:left="4320" w:hanging="360"/>
      </w:pPr>
    </w:lvl>
    <w:lvl w:ilvl="6" w:tplc="DFF8CFC2">
      <w:start w:val="1"/>
      <w:numFmt w:val="bullet"/>
      <w:lvlText w:val="●"/>
      <w:lvlJc w:val="left"/>
      <w:pPr>
        <w:ind w:left="5040" w:hanging="360"/>
      </w:pPr>
    </w:lvl>
    <w:lvl w:ilvl="7" w:tplc="EEE43406">
      <w:start w:val="1"/>
      <w:numFmt w:val="bullet"/>
      <w:lvlText w:val="●"/>
      <w:lvlJc w:val="left"/>
      <w:pPr>
        <w:ind w:left="5760" w:hanging="360"/>
      </w:pPr>
    </w:lvl>
    <w:lvl w:ilvl="8" w:tplc="196ED75C">
      <w:start w:val="1"/>
      <w:numFmt w:val="bullet"/>
      <w:lvlText w:val="●"/>
      <w:lvlJc w:val="left"/>
      <w:pPr>
        <w:ind w:left="6480" w:hanging="360"/>
      </w:pPr>
    </w:lvl>
  </w:abstractNum>
  <w:num w:numId="1" w16cid:durableId="1278558118">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3ECE"/>
    <w:rsid w:val="001823A0"/>
    <w:rsid w:val="009C0C8B"/>
    <w:rsid w:val="00BA5F60"/>
    <w:rsid w:val="00ED3EC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5555FF"/>
  <w15:docId w15:val="{8B093BA9-FA5F-40AF-8E47-5CA6FA4921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customStyle="1" w:styleId="EndnoteTextChar">
    <w:name w:val="Endnote Text Char"/>
    <w:link w:val="EndnoteText"/>
    <w:uiPriority w:val="99"/>
    <w:semiHidden/>
    <w:unhideWhenUsed/>
    <w:rPr>
      <w:sz w:val="20"/>
      <w:szCs w:val="20"/>
    </w:rPr>
  </w:style>
  <w:style w:type="paragraph" w:styleId="Header">
    <w:name w:val="header"/>
    <w:basedOn w:val="Normal"/>
    <w:link w:val="HeaderChar"/>
    <w:uiPriority w:val="99"/>
    <w:unhideWhenUsed/>
    <w:rsid w:val="001823A0"/>
    <w:pPr>
      <w:tabs>
        <w:tab w:val="center" w:pos="4513"/>
        <w:tab w:val="right" w:pos="9026"/>
      </w:tabs>
    </w:pPr>
  </w:style>
  <w:style w:type="character" w:customStyle="1" w:styleId="HeaderChar">
    <w:name w:val="Header Char"/>
    <w:basedOn w:val="DefaultParagraphFont"/>
    <w:link w:val="Header"/>
    <w:uiPriority w:val="99"/>
    <w:rsid w:val="001823A0"/>
  </w:style>
  <w:style w:type="paragraph" w:styleId="Footer">
    <w:name w:val="footer"/>
    <w:basedOn w:val="Normal"/>
    <w:link w:val="FooterChar"/>
    <w:uiPriority w:val="99"/>
    <w:unhideWhenUsed/>
    <w:rsid w:val="001823A0"/>
    <w:pPr>
      <w:tabs>
        <w:tab w:val="center" w:pos="4513"/>
        <w:tab w:val="right" w:pos="9026"/>
      </w:tabs>
    </w:pPr>
  </w:style>
  <w:style w:type="character" w:customStyle="1" w:styleId="FooterChar">
    <w:name w:val="Footer Char"/>
    <w:basedOn w:val="DefaultParagraphFont"/>
    <w:link w:val="Footer"/>
    <w:uiPriority w:val="99"/>
    <w:rsid w:val="001823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ca4304b-c649-438f-a5d1-c2f26bdbd233">
      <Terms xmlns="http://schemas.microsoft.com/office/infopath/2007/PartnerControls"/>
    </lcf76f155ced4ddcb4097134ff3c332f>
    <TaxCatchAll xmlns="90e2f44b-3124-4971-a86d-243de5684ae9" xsi:nil="true"/>
    <_ip_UnifiedCompliancePolicyUIAction xmlns="http://schemas.microsoft.com/sharepoint/v3" xsi:nil="true"/>
    <_ip_UnifiedCompliancePolicyProperties xmlns="http://schemas.microsoft.com/sharepoint/v3" xsi:nil="true"/>
    <_Flow_SignoffStatus xmlns="cca4304b-c649-438f-a5d1-c2f26bdbd23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F722294396894084E00DFA9F6F6037" ma:contentTypeVersion="22" ma:contentTypeDescription="Create a new document." ma:contentTypeScope="" ma:versionID="c3701c230041e9d2d92018f496088b6a">
  <xsd:schema xmlns:xsd="http://www.w3.org/2001/XMLSchema" xmlns:xs="http://www.w3.org/2001/XMLSchema" xmlns:p="http://schemas.microsoft.com/office/2006/metadata/properties" xmlns:ns1="http://schemas.microsoft.com/sharepoint/v3" xmlns:ns2="cca4304b-c649-438f-a5d1-c2f26bdbd233" xmlns:ns3="90e2f44b-3124-4971-a86d-243de5684ae9" targetNamespace="http://schemas.microsoft.com/office/2006/metadata/properties" ma:root="true" ma:fieldsID="63ac87241ded5e0f8f024ebc611c328e" ns1:_="" ns2:_="" ns3:_="">
    <xsd:import namespace="http://schemas.microsoft.com/sharepoint/v3"/>
    <xsd:import namespace="cca4304b-c649-438f-a5d1-c2f26bdbd233"/>
    <xsd:import namespace="90e2f44b-3124-4971-a86d-243de5684ae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element ref="ns2:_Flow_SignoffStatu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a4304b-c649-438f-a5d1-c2f26bdbd2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_Flow_SignoffStatus" ma:index="22" nillable="true" ma:displayName="Sign-off status" ma:internalName="Sign_x002d_off_x0020_status">
      <xsd:simpleType>
        <xsd:restriction base="dms:Text"/>
      </xsd:simpleType>
    </xsd:element>
    <xsd:element name="MediaServiceLocation" ma:index="23"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53a93e6a-eb94-4f22-847d-80c377548ab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0e2f44b-3124-4971-a86d-243de5684ae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e6297a8c-15e9-456d-9ab2-3f4e29740b46}" ma:internalName="TaxCatchAll" ma:showField="CatchAllData" ma:web="90e2f44b-3124-4971-a86d-243de5684a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59A76D-911C-4AFA-912A-5C23BBBC6CB3}">
  <ds:schemaRefs>
    <ds:schemaRef ds:uri="http://schemas.microsoft.com/office/2006/metadata/properties"/>
    <ds:schemaRef ds:uri="http://schemas.microsoft.com/office/infopath/2007/PartnerControls"/>
    <ds:schemaRef ds:uri="cca4304b-c649-438f-a5d1-c2f26bdbd233"/>
    <ds:schemaRef ds:uri="90e2f44b-3124-4971-a86d-243de5684ae9"/>
    <ds:schemaRef ds:uri="http://schemas.microsoft.com/sharepoint/v3"/>
  </ds:schemaRefs>
</ds:datastoreItem>
</file>

<file path=customXml/itemProps2.xml><?xml version="1.0" encoding="utf-8"?>
<ds:datastoreItem xmlns:ds="http://schemas.openxmlformats.org/officeDocument/2006/customXml" ds:itemID="{64CB4713-00DD-41C7-8FFF-F93D3A0B29D2}">
  <ds:schemaRefs>
    <ds:schemaRef ds:uri="http://schemas.microsoft.com/sharepoint/v3/contenttype/forms"/>
  </ds:schemaRefs>
</ds:datastoreItem>
</file>

<file path=customXml/itemProps3.xml><?xml version="1.0" encoding="utf-8"?>
<ds:datastoreItem xmlns:ds="http://schemas.openxmlformats.org/officeDocument/2006/customXml" ds:itemID="{24328DD9-4D6A-46D1-9470-71755B5F6C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ca4304b-c649-438f-a5d1-c2f26bdbd233"/>
    <ds:schemaRef ds:uri="90e2f44b-3124-4971-a86d-243de5684a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3416</Words>
  <Characters>19476</Characters>
  <Application>Microsoft Office Word</Application>
  <DocSecurity>0</DocSecurity>
  <Lines>162</Lines>
  <Paragraphs>45</Paragraphs>
  <ScaleCrop>false</ScaleCrop>
  <Company/>
  <LinksUpToDate>false</LinksUpToDate>
  <CharactersWithSpaces>22847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Karkhedkar, Shruti (TR Foundation)</cp:lastModifiedBy>
  <cp:revision>2</cp:revision>
  <dcterms:created xsi:type="dcterms:W3CDTF">2026-07-05T14:49:00Z</dcterms:created>
  <dcterms:modified xsi:type="dcterms:W3CDTF">2026-07-14T16:19:00Z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0x010100F3F722294396894084E00DFA9F6F6037</vt:lpwstr>
  </property>
  <property fmtid="{D5CDD505-2E9C-101B-9397-08002B2CF9AE}" pid="3" name="MediaServiceImageTags">
    <vt:lpwstr/>
  </property>
</Properties>
</file>